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24" w:rsidRDefault="006B7B24" w:rsidP="006B7B24">
      <w:pPr>
        <w:jc w:val="center"/>
        <w:rPr>
          <w:b/>
        </w:rPr>
      </w:pPr>
      <w:r>
        <w:rPr>
          <w:b/>
        </w:rPr>
        <w:t>DEFINITIONS</w:t>
      </w:r>
    </w:p>
    <w:p w:rsidR="005A3A1E" w:rsidRDefault="005A3A1E" w:rsidP="005A3A1E">
      <w:r w:rsidRPr="005A3A1E">
        <w:rPr>
          <w:b/>
        </w:rPr>
        <w:t>Un contact à risque</w:t>
      </w:r>
      <w:r>
        <w:t xml:space="preserve"> est une personne qui, à partir de 48h précédant l’apparition des symptômes d’un cas confirmé</w:t>
      </w:r>
    </w:p>
    <w:p w:rsidR="005A3A1E" w:rsidRDefault="005A3A1E" w:rsidP="005A3A1E">
      <w:pPr>
        <w:pStyle w:val="Paragraphedeliste"/>
        <w:numPr>
          <w:ilvl w:val="0"/>
          <w:numId w:val="2"/>
        </w:numPr>
      </w:pPr>
      <w:r>
        <w:t>A partagé le même lieu de vie que le cas confirmé ou probable ;</w:t>
      </w:r>
    </w:p>
    <w:p w:rsidR="005A3A1E" w:rsidRDefault="005A3A1E" w:rsidP="005A3A1E">
      <w:pPr>
        <w:pStyle w:val="Paragraphedeliste"/>
        <w:numPr>
          <w:ilvl w:val="0"/>
          <w:numId w:val="2"/>
        </w:numPr>
      </w:pPr>
      <w:r>
        <w:t>A eu un contact direct avec un cas, en face à face, à moins d’1 mètre, quelle que soit la durée (conversation, repas, flirt, accolades, embrassades par exemple). En revanche, des personnes croisées dans l’espace public de manière fugace ne sont pas considérées comme des personnes contacts à risque ;</w:t>
      </w:r>
    </w:p>
    <w:p w:rsidR="005A3A1E" w:rsidRDefault="005A3A1E" w:rsidP="005A3A1E">
      <w:pPr>
        <w:pStyle w:val="Paragraphedeliste"/>
        <w:numPr>
          <w:ilvl w:val="0"/>
          <w:numId w:val="2"/>
        </w:numPr>
      </w:pPr>
      <w:r>
        <w:t>A prodigué ou reçu des actes d’hygiène ou de soins ;</w:t>
      </w:r>
    </w:p>
    <w:p w:rsidR="005A3A1E" w:rsidRDefault="005A3A1E" w:rsidP="005A3A1E">
      <w:pPr>
        <w:pStyle w:val="Paragraphedeliste"/>
        <w:numPr>
          <w:ilvl w:val="0"/>
          <w:numId w:val="2"/>
        </w:numPr>
      </w:pPr>
      <w:r>
        <w:t>A partagé un espace confiné (bureau ou salle de réunion…) ou étant resté en face à face avec un cas à l’occasion d’épisode de toux ou d’éternuement ;</w:t>
      </w:r>
    </w:p>
    <w:p w:rsidR="005A3A1E" w:rsidRDefault="005A3A1E" w:rsidP="005A3A1E">
      <w:pPr>
        <w:pStyle w:val="Paragraphedeliste"/>
        <w:numPr>
          <w:ilvl w:val="0"/>
          <w:numId w:val="2"/>
        </w:numPr>
      </w:pPr>
      <w:r>
        <w:t>Est élève ou enseignant de la même classe scolaire (maternelle, primaire, secondaire, groupe de travaux dirigés à l’université) ;</w:t>
      </w:r>
    </w:p>
    <w:p w:rsidR="005A3A1E" w:rsidRDefault="005A3A1E" w:rsidP="005A3A1E">
      <w:r>
        <w:t>En l’absence de mesures de protection efficaces pendant toute la durée du contact :</w:t>
      </w:r>
    </w:p>
    <w:p w:rsidR="005A3A1E" w:rsidRDefault="005A3A1E" w:rsidP="005A3A1E">
      <w:pPr>
        <w:pStyle w:val="Paragraphedeliste"/>
        <w:numPr>
          <w:ilvl w:val="0"/>
          <w:numId w:val="2"/>
        </w:numPr>
      </w:pPr>
      <w:r>
        <w:t>Hygiaphone ou autre séparation physique (vitre) ;</w:t>
      </w:r>
    </w:p>
    <w:p w:rsidR="005A3A1E" w:rsidRDefault="005A3A1E" w:rsidP="005A3A1E">
      <w:pPr>
        <w:pStyle w:val="Paragraphedeliste"/>
        <w:numPr>
          <w:ilvl w:val="0"/>
          <w:numId w:val="2"/>
        </w:numPr>
      </w:pPr>
      <w:r>
        <w:t>Masque chirurgical ou FFP2 porté par le cas OU la personne contact ;</w:t>
      </w:r>
    </w:p>
    <w:p w:rsidR="005E7034" w:rsidRDefault="005A3A1E" w:rsidP="005A3A1E">
      <w:pPr>
        <w:pStyle w:val="Paragraphedeliste"/>
        <w:numPr>
          <w:ilvl w:val="0"/>
          <w:numId w:val="2"/>
        </w:numPr>
      </w:pPr>
      <w:r>
        <w:t>Masque grand public fabriqué selon la norme AFNOR porté par le cas ET la personne contact.</w:t>
      </w:r>
    </w:p>
    <w:p w:rsidR="00D87649" w:rsidRDefault="00D87649" w:rsidP="00D87649">
      <w:r w:rsidRPr="00D87649">
        <w:rPr>
          <w:b/>
        </w:rPr>
        <w:t>Personne contact à risque négligeable</w:t>
      </w:r>
      <w:r>
        <w:t xml:space="preserve"> :</w:t>
      </w:r>
    </w:p>
    <w:p w:rsidR="00D87649" w:rsidRDefault="00D87649" w:rsidP="00D87649">
      <w:r>
        <w:t>- Toutes les autres situations de contact ;</w:t>
      </w:r>
    </w:p>
    <w:p w:rsidR="00D87649" w:rsidRDefault="00D87649" w:rsidP="00D87649">
      <w:r>
        <w:t>- Cas de COVID-19 déjà identifié, confirmé par RT-PCR, guéri ou encore malade, en tenant compte des</w:t>
      </w:r>
      <w:r w:rsidR="00F300A2">
        <w:t xml:space="preserve"> </w:t>
      </w:r>
      <w:r>
        <w:t>instructions s’appliquant aux cas confirmés si le patient est toujours malade.</w:t>
      </w:r>
    </w:p>
    <w:p w:rsidR="005A3A1E" w:rsidRDefault="00D87649" w:rsidP="00D87649">
      <w:r>
        <w:t>NB : ces définitions de personnes contact ne s’appliquent pas à l’évaluation des contacts à risque d’un</w:t>
      </w:r>
      <w:r w:rsidR="00F300A2">
        <w:t xml:space="preserve"> </w:t>
      </w:r>
      <w:r>
        <w:t>professionnel de santé hospitalier survenus dans un contexte de soins, pour lequel une évaluation spécifique</w:t>
      </w:r>
      <w:r w:rsidR="00F300A2">
        <w:t xml:space="preserve"> </w:t>
      </w:r>
      <w:bookmarkStart w:id="0" w:name="_GoBack"/>
      <w:bookmarkEnd w:id="0"/>
      <w:r>
        <w:t>doit être réalisée par le médecin du travail et l’équipe opérationnelle.</w:t>
      </w:r>
    </w:p>
    <w:p w:rsidR="00D87649" w:rsidRDefault="00D87649" w:rsidP="005A3A1E"/>
    <w:p w:rsidR="00D87649" w:rsidRDefault="00D87649" w:rsidP="005A3A1E"/>
    <w:p w:rsidR="00D87649" w:rsidRDefault="00D87649" w:rsidP="005A3A1E"/>
    <w:p w:rsidR="005A3A1E" w:rsidRPr="005A3A1E" w:rsidRDefault="005A3A1E" w:rsidP="005A3A1E">
      <w:pPr>
        <w:rPr>
          <w:b/>
        </w:rPr>
      </w:pPr>
      <w:r w:rsidRPr="005A3A1E">
        <w:rPr>
          <w:b/>
        </w:rPr>
        <w:t>Symptômes évocateurs COVID-19</w:t>
      </w:r>
    </w:p>
    <w:p w:rsidR="005A3A1E" w:rsidRDefault="006B7B24" w:rsidP="005A3A1E">
      <w:pPr>
        <w:pStyle w:val="Paragraphedeliste"/>
        <w:numPr>
          <w:ilvl w:val="0"/>
          <w:numId w:val="4"/>
        </w:numPr>
      </w:pPr>
      <w:r>
        <w:t>Fièvre</w:t>
      </w:r>
      <w:r w:rsidR="005A3A1E">
        <w:t xml:space="preserve"> ou sensation de fièvre, </w:t>
      </w:r>
    </w:p>
    <w:p w:rsidR="005A3A1E" w:rsidRDefault="006B7B24" w:rsidP="005A3A1E">
      <w:pPr>
        <w:pStyle w:val="Paragraphedeliste"/>
        <w:numPr>
          <w:ilvl w:val="0"/>
          <w:numId w:val="4"/>
        </w:numPr>
      </w:pPr>
      <w:r>
        <w:t>Toux</w:t>
      </w:r>
      <w:r w:rsidR="005A3A1E">
        <w:t>, essoufflement</w:t>
      </w:r>
    </w:p>
    <w:p w:rsidR="005A3A1E" w:rsidRDefault="006B7B24" w:rsidP="005A3A1E">
      <w:pPr>
        <w:pStyle w:val="Paragraphedeliste"/>
        <w:numPr>
          <w:ilvl w:val="0"/>
          <w:numId w:val="4"/>
        </w:numPr>
      </w:pPr>
      <w:r>
        <w:t>Fatigue</w:t>
      </w:r>
      <w:r w:rsidR="005A3A1E">
        <w:t>, douleurs musculaires, maux de tête</w:t>
      </w:r>
    </w:p>
    <w:p w:rsidR="005A3A1E" w:rsidRDefault="006B7B24" w:rsidP="005A3A1E">
      <w:pPr>
        <w:pStyle w:val="Paragraphedeliste"/>
        <w:numPr>
          <w:ilvl w:val="0"/>
          <w:numId w:val="4"/>
        </w:numPr>
      </w:pPr>
      <w:r>
        <w:t>Perte</w:t>
      </w:r>
      <w:r w:rsidR="005A3A1E">
        <w:t xml:space="preserve"> du goût et de l’odorat</w:t>
      </w:r>
    </w:p>
    <w:p w:rsidR="006B7B24" w:rsidRDefault="006B7B24" w:rsidP="006B7B24">
      <w:pPr>
        <w:rPr>
          <w:b/>
        </w:rPr>
      </w:pPr>
    </w:p>
    <w:p w:rsidR="006B7B24" w:rsidRPr="006B7B24" w:rsidRDefault="006B7B24" w:rsidP="006B7B24">
      <w:r w:rsidRPr="006B7B24">
        <w:rPr>
          <w:b/>
        </w:rPr>
        <w:t>Sujets à risque / Comorbidités</w:t>
      </w:r>
    </w:p>
    <w:p w:rsidR="006B7B24" w:rsidRDefault="006B7B24" w:rsidP="006B7B24">
      <w:pPr>
        <w:pStyle w:val="Paragraphedeliste"/>
        <w:numPr>
          <w:ilvl w:val="0"/>
          <w:numId w:val="4"/>
        </w:numPr>
      </w:pPr>
      <w:r>
        <w:t xml:space="preserve">Sujets âgés &gt; 65 ans, </w:t>
      </w:r>
    </w:p>
    <w:p w:rsidR="006B7B24" w:rsidRDefault="006B7B24" w:rsidP="006B7B24">
      <w:pPr>
        <w:pStyle w:val="Paragraphedeliste"/>
        <w:numPr>
          <w:ilvl w:val="0"/>
          <w:numId w:val="4"/>
        </w:numPr>
      </w:pPr>
      <w:r>
        <w:t xml:space="preserve">Patients aux antécédents cardiovasculaires </w:t>
      </w:r>
    </w:p>
    <w:p w:rsidR="006B7B24" w:rsidRDefault="006B7B24" w:rsidP="006B7B24">
      <w:pPr>
        <w:pStyle w:val="Paragraphedeliste"/>
        <w:numPr>
          <w:ilvl w:val="0"/>
          <w:numId w:val="4"/>
        </w:numPr>
      </w:pPr>
      <w:r>
        <w:t xml:space="preserve">Diabétiques insulinodépendants non équilibrés ou présentant des complications secondaires à leur pathologie, </w:t>
      </w:r>
    </w:p>
    <w:p w:rsidR="006B7B24" w:rsidRDefault="006B7B24" w:rsidP="006B7B24">
      <w:pPr>
        <w:pStyle w:val="Paragraphedeliste"/>
        <w:numPr>
          <w:ilvl w:val="0"/>
          <w:numId w:val="4"/>
        </w:numPr>
      </w:pPr>
      <w:r>
        <w:lastRenderedPageBreak/>
        <w:t xml:space="preserve">Personnes présentant une pathologie chronique respiratoire susceptible de décompenser lors d’une infection virale, </w:t>
      </w:r>
    </w:p>
    <w:p w:rsidR="006B7B24" w:rsidRDefault="006B7B24" w:rsidP="006B7B24">
      <w:pPr>
        <w:pStyle w:val="Paragraphedeliste"/>
        <w:numPr>
          <w:ilvl w:val="0"/>
          <w:numId w:val="4"/>
        </w:numPr>
      </w:pPr>
      <w:r>
        <w:t xml:space="preserve">Obésité IMC &gt; 30 </w:t>
      </w:r>
    </w:p>
    <w:p w:rsidR="006B7B24" w:rsidRDefault="006B7B24" w:rsidP="006B7B24">
      <w:pPr>
        <w:pStyle w:val="Paragraphedeliste"/>
        <w:numPr>
          <w:ilvl w:val="0"/>
          <w:numId w:val="4"/>
        </w:numPr>
      </w:pPr>
      <w:r>
        <w:t xml:space="preserve">Patients présentant une insuffisance rénale chronique dialysée, </w:t>
      </w:r>
    </w:p>
    <w:p w:rsidR="006B7B24" w:rsidRDefault="006B7B24" w:rsidP="006B7B24">
      <w:pPr>
        <w:pStyle w:val="Paragraphedeliste"/>
        <w:numPr>
          <w:ilvl w:val="0"/>
          <w:numId w:val="4"/>
        </w:numPr>
      </w:pPr>
      <w:r>
        <w:t xml:space="preserve">Malades atteints de cancer sous traitement, </w:t>
      </w:r>
    </w:p>
    <w:p w:rsidR="006B7B24" w:rsidRDefault="006B7B24" w:rsidP="00FA521D">
      <w:pPr>
        <w:pStyle w:val="Paragraphedeliste"/>
        <w:numPr>
          <w:ilvl w:val="0"/>
          <w:numId w:val="4"/>
        </w:numPr>
      </w:pPr>
      <w:r>
        <w:t xml:space="preserve">Immunodépression médicamenteuse (chimiothérapie anti cancéreuse, immunosuppresseur, biothérapie et/ou une corticothérapie à dose immunosuppressive), infection à VIH non contrôlé ou avec des CD4 &lt;200/mm3, immunodépression consécutive à une greffe d’organe solide ou de cellules souches hématopoïétiques, malades atteint d’hémopathie maligne en cours de traitement, </w:t>
      </w:r>
    </w:p>
    <w:p w:rsidR="006B7B24" w:rsidRDefault="006B7B24" w:rsidP="006B7B24">
      <w:pPr>
        <w:pStyle w:val="Paragraphedeliste"/>
        <w:numPr>
          <w:ilvl w:val="0"/>
          <w:numId w:val="4"/>
        </w:numPr>
      </w:pPr>
      <w:r>
        <w:t xml:space="preserve">Cirrhose, </w:t>
      </w:r>
    </w:p>
    <w:p w:rsidR="006B7B24" w:rsidRDefault="006B7B24" w:rsidP="006B7B24">
      <w:pPr>
        <w:ind w:left="360"/>
      </w:pPr>
    </w:p>
    <w:sectPr w:rsidR="006B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D79BE"/>
    <w:multiLevelType w:val="hybridMultilevel"/>
    <w:tmpl w:val="7A8476CC"/>
    <w:lvl w:ilvl="0" w:tplc="2B7E077E">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B90702"/>
    <w:multiLevelType w:val="hybridMultilevel"/>
    <w:tmpl w:val="DBA04896"/>
    <w:lvl w:ilvl="0" w:tplc="2B7E077E">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244BF9"/>
    <w:multiLevelType w:val="hybridMultilevel"/>
    <w:tmpl w:val="AA808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655A65"/>
    <w:multiLevelType w:val="hybridMultilevel"/>
    <w:tmpl w:val="3C82CB7A"/>
    <w:lvl w:ilvl="0" w:tplc="2B7E077E">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AE420A"/>
    <w:multiLevelType w:val="hybridMultilevel"/>
    <w:tmpl w:val="7278FFAA"/>
    <w:lvl w:ilvl="0" w:tplc="2B7E077E">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1E"/>
    <w:rsid w:val="005A3A1E"/>
    <w:rsid w:val="005E7034"/>
    <w:rsid w:val="006A711E"/>
    <w:rsid w:val="006B7B24"/>
    <w:rsid w:val="00D87649"/>
    <w:rsid w:val="00F300A2"/>
    <w:rsid w:val="00FB3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F272"/>
  <w15:chartTrackingRefBased/>
  <w15:docId w15:val="{A29E5BCA-9204-4C6E-B43F-E1BA8741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Marie-Pierre</dc:creator>
  <cp:keywords/>
  <dc:description/>
  <cp:lastModifiedBy>GUYONNET, Jean-Paul</cp:lastModifiedBy>
  <cp:revision>2</cp:revision>
  <dcterms:created xsi:type="dcterms:W3CDTF">2020-08-17T08:54:00Z</dcterms:created>
  <dcterms:modified xsi:type="dcterms:W3CDTF">2020-08-17T08:54:00Z</dcterms:modified>
</cp:coreProperties>
</file>