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2E34" w14:textId="77777777" w:rsidR="00BE4D71" w:rsidRPr="007D2636" w:rsidRDefault="00BE4D71" w:rsidP="00BE4D71">
      <w:pPr>
        <w:spacing w:after="0" w:line="240" w:lineRule="auto"/>
        <w:jc w:val="center"/>
        <w:rPr>
          <w:rFonts w:eastAsia="Times New Roman"/>
          <w:color w:val="000000"/>
          <w:sz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4E407" wp14:editId="38ECAB66">
                <wp:simplePos x="0" y="0"/>
                <wp:positionH relativeFrom="column">
                  <wp:posOffset>-309245</wp:posOffset>
                </wp:positionH>
                <wp:positionV relativeFrom="paragraph">
                  <wp:posOffset>9071610</wp:posOffset>
                </wp:positionV>
                <wp:extent cx="6457950" cy="647700"/>
                <wp:effectExtent l="0" t="0" r="381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388C5" id="Rectangle 17" o:spid="_x0000_s1026" style="position:absolute;margin-left:-24.35pt;margin-top:714.3pt;width:50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" stroked="f"/>
            </w:pict>
          </mc:Fallback>
        </mc:AlternateContent>
      </w:r>
      <w:r w:rsidRPr="007D2636">
        <w:rPr>
          <w:b/>
          <w:iCs/>
          <w:sz w:val="28"/>
        </w:rPr>
        <w:t xml:space="preserve">MODELE DE DELIBERATION </w:t>
      </w:r>
      <w:r>
        <w:rPr>
          <w:b/>
          <w:iCs/>
          <w:sz w:val="28"/>
        </w:rPr>
        <w:t>FIXANT LE REGIME DES ASTREINTES ET/OU DES PERMANENCES</w:t>
      </w:r>
    </w:p>
    <w:p w14:paraId="2F9D356B" w14:textId="77777777" w:rsidR="00BE4D71" w:rsidRPr="007D2636" w:rsidRDefault="00BE4D71" w:rsidP="00BE4D71">
      <w:pPr>
        <w:pStyle w:val="Default"/>
        <w:rPr>
          <w:sz w:val="22"/>
          <w:szCs w:val="22"/>
        </w:rPr>
      </w:pPr>
    </w:p>
    <w:p w14:paraId="3D170A03" w14:textId="77777777" w:rsidR="00BE4D71" w:rsidRDefault="00BE4D71" w:rsidP="00BE4D71">
      <w:pPr>
        <w:pStyle w:val="Titre"/>
        <w:ind w:left="0"/>
        <w:rPr>
          <w:rFonts w:ascii="Calibri" w:hAnsi="Calibri"/>
          <w:sz w:val="28"/>
        </w:rPr>
      </w:pPr>
    </w:p>
    <w:p w14:paraId="37E7DB26" w14:textId="77777777" w:rsidR="00BE4D71" w:rsidRPr="00D506F7" w:rsidRDefault="00BE4D71" w:rsidP="00BE4D71">
      <w:pPr>
        <w:pStyle w:val="Titre"/>
        <w:ind w:left="0"/>
        <w:rPr>
          <w:rFonts w:ascii="Calibri" w:hAnsi="Calibri"/>
          <w:sz w:val="28"/>
        </w:rPr>
      </w:pPr>
      <w:r w:rsidRPr="00D506F7">
        <w:rPr>
          <w:rFonts w:ascii="Calibri" w:hAnsi="Calibri"/>
          <w:sz w:val="28"/>
        </w:rPr>
        <w:t>EXTRAIT DU REGISTRE DES DELIBERATIONS DU</w:t>
      </w:r>
    </w:p>
    <w:p w14:paraId="54CF1446" w14:textId="77777777" w:rsidR="00BE4D71" w:rsidRPr="00D506F7" w:rsidRDefault="00BE4D71" w:rsidP="00BE4D71">
      <w:pPr>
        <w:spacing w:after="0" w:line="240" w:lineRule="auto"/>
        <w:jc w:val="center"/>
        <w:rPr>
          <w:b/>
          <w:sz w:val="28"/>
        </w:rPr>
      </w:pPr>
      <w:r w:rsidRPr="00D506F7">
        <w:rPr>
          <w:b/>
          <w:sz w:val="28"/>
        </w:rPr>
        <w:t>CONSEIL MUNICIPAL</w:t>
      </w:r>
    </w:p>
    <w:p w14:paraId="2749A89C" w14:textId="77777777" w:rsidR="00BE4D71" w:rsidRDefault="00BE4D71" w:rsidP="00BE4D71">
      <w:pPr>
        <w:spacing w:after="0" w:line="240" w:lineRule="auto"/>
        <w:jc w:val="center"/>
      </w:pPr>
      <w:r w:rsidRPr="001D2A52">
        <w:t>______________</w:t>
      </w:r>
    </w:p>
    <w:p w14:paraId="4FD620B8" w14:textId="77777777" w:rsidR="00BE4D71" w:rsidRPr="00E80824" w:rsidRDefault="00BE4D71" w:rsidP="00BE4D71">
      <w:pPr>
        <w:spacing w:after="0" w:line="240" w:lineRule="auto"/>
        <w:jc w:val="center"/>
        <w:rPr>
          <w:sz w:val="18"/>
        </w:rPr>
      </w:pPr>
    </w:p>
    <w:p w14:paraId="64B20796" w14:textId="77777777" w:rsidR="00BE4D71" w:rsidRPr="001D2A52" w:rsidRDefault="00BE4D71" w:rsidP="00BE4D71">
      <w:pPr>
        <w:spacing w:after="0" w:line="240" w:lineRule="auto"/>
        <w:jc w:val="center"/>
        <w:outlineLvl w:val="0"/>
      </w:pPr>
      <w:r w:rsidRPr="001D2A52">
        <w:t xml:space="preserve">Séance du </w:t>
      </w:r>
      <w:r>
        <w:t>……………………………….</w:t>
      </w:r>
    </w:p>
    <w:p w14:paraId="1CD9F00B" w14:textId="77777777" w:rsidR="00BE4D71" w:rsidRPr="001D2A52" w:rsidRDefault="00BE4D71" w:rsidP="00BE4D71">
      <w:pPr>
        <w:spacing w:after="0" w:line="240" w:lineRule="auto"/>
        <w:jc w:val="center"/>
      </w:pPr>
      <w:r w:rsidRPr="001D2A52">
        <w:t>______________</w:t>
      </w:r>
    </w:p>
    <w:p w14:paraId="6FDA94B5" w14:textId="77777777" w:rsidR="00BE4D71" w:rsidRPr="001D2A52" w:rsidRDefault="00BE4D71" w:rsidP="00BE4D71">
      <w:pPr>
        <w:tabs>
          <w:tab w:val="left" w:pos="2948"/>
        </w:tabs>
        <w:ind w:right="283"/>
        <w:jc w:val="both"/>
        <w:rPr>
          <w:b/>
          <w:sz w:val="2"/>
          <w:szCs w:val="2"/>
        </w:rPr>
      </w:pPr>
    </w:p>
    <w:p w14:paraId="2F87E53B" w14:textId="77777777" w:rsidR="00BE4D71" w:rsidRPr="001D2A52" w:rsidRDefault="00BE4D71" w:rsidP="00BE4D71">
      <w:pPr>
        <w:tabs>
          <w:tab w:val="left" w:pos="2948"/>
        </w:tabs>
        <w:ind w:right="283"/>
        <w:jc w:val="both"/>
        <w:rPr>
          <w:b/>
          <w:sz w:val="2"/>
          <w:szCs w:val="2"/>
        </w:rPr>
      </w:pPr>
    </w:p>
    <w:p w14:paraId="0B71DD7B" w14:textId="77777777" w:rsidR="00BE4D71" w:rsidRPr="001D2A52" w:rsidRDefault="00BE4D71" w:rsidP="00BE4D71">
      <w:pPr>
        <w:tabs>
          <w:tab w:val="left" w:pos="2948"/>
        </w:tabs>
        <w:ind w:right="283"/>
        <w:jc w:val="both"/>
        <w:rPr>
          <w:rFonts w:cs="Arial"/>
          <w:b/>
          <w:highlight w:val="yellow"/>
        </w:rPr>
      </w:pPr>
    </w:p>
    <w:p w14:paraId="2A4A7161" w14:textId="77777777" w:rsidR="00BE4D71" w:rsidRPr="001D2A52" w:rsidRDefault="00BE4D71" w:rsidP="00BE4D71">
      <w:pPr>
        <w:ind w:firstLine="708"/>
        <w:jc w:val="both"/>
      </w:pPr>
      <w:r w:rsidRPr="001D2A52">
        <w:t xml:space="preserve">L’an deux mille </w:t>
      </w:r>
      <w:r>
        <w:t>……………….</w:t>
      </w:r>
      <w:r w:rsidRPr="001D2A52">
        <w:t xml:space="preserve"> </w:t>
      </w:r>
      <w:proofErr w:type="gramStart"/>
      <w:r w:rsidRPr="001D2A52">
        <w:t>et</w:t>
      </w:r>
      <w:proofErr w:type="gramEnd"/>
      <w:r w:rsidRPr="001D2A52">
        <w:t xml:space="preserve"> </w:t>
      </w:r>
      <w:r>
        <w:t>le ……………………………………….</w:t>
      </w:r>
      <w:r w:rsidRPr="001D2A52">
        <w:t xml:space="preserve"> </w:t>
      </w:r>
      <w:proofErr w:type="gramStart"/>
      <w:r w:rsidRPr="001D2A52">
        <w:t>à</w:t>
      </w:r>
      <w:proofErr w:type="gramEnd"/>
      <w:r w:rsidRPr="001D2A52">
        <w:t xml:space="preserve"> </w:t>
      </w:r>
      <w:r>
        <w:t>…………………….</w:t>
      </w:r>
      <w:r w:rsidRPr="001D2A52">
        <w:t xml:space="preserve"> </w:t>
      </w:r>
      <w:proofErr w:type="gramStart"/>
      <w:r w:rsidRPr="001D2A52">
        <w:t>heures</w:t>
      </w:r>
      <w:proofErr w:type="gramEnd"/>
      <w:r w:rsidRPr="001D2A52">
        <w:t>, le</w:t>
      </w:r>
      <w:r>
        <w:t>s membres du</w:t>
      </w:r>
      <w:r w:rsidRPr="001D2A52">
        <w:t xml:space="preserve"> Conseil </w:t>
      </w:r>
      <w:r>
        <w:t>municipal de la commune de ……………………………..</w:t>
      </w:r>
      <w:r w:rsidRPr="001D2A52">
        <w:t xml:space="preserve">, régulièrement convoqué, s’est réuni au nombre prescrit par la loi, dans le lieu habituel de ses séances, sous la présidence de </w:t>
      </w:r>
      <w:r>
        <w:t>……………………………………………………………..</w:t>
      </w:r>
      <w:r w:rsidRPr="001D2A52">
        <w:t>.</w:t>
      </w:r>
    </w:p>
    <w:p w14:paraId="04EC6AD6" w14:textId="77777777" w:rsidR="00BE4D71" w:rsidRPr="00347C21" w:rsidRDefault="00BE4D71" w:rsidP="00BE4D71">
      <w:pPr>
        <w:tabs>
          <w:tab w:val="left" w:pos="2948"/>
        </w:tabs>
        <w:ind w:right="283"/>
        <w:jc w:val="both"/>
        <w:rPr>
          <w:b/>
        </w:rPr>
      </w:pPr>
      <w:r w:rsidRPr="001D2A52">
        <w:rPr>
          <w:b/>
          <w:u w:val="single"/>
        </w:rPr>
        <w:t>OBJET </w:t>
      </w:r>
      <w:r>
        <w:rPr>
          <w:b/>
        </w:rPr>
        <w:t xml:space="preserve">: Régime des astreintes et/ou des permanences au sein de 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CCB49FD" w14:textId="77777777" w:rsidR="00BE4D71" w:rsidRPr="001D2A52" w:rsidRDefault="00BE4D71" w:rsidP="00BE4D71"/>
    <w:p w14:paraId="1DE25C3C" w14:textId="77777777" w:rsidR="00BE4D71" w:rsidRPr="001D2A52" w:rsidRDefault="00BE4D71" w:rsidP="00BE4D71">
      <w:pPr>
        <w:jc w:val="both"/>
      </w:pPr>
      <w:r w:rsidRPr="001D2A52">
        <w:rPr>
          <w:b/>
          <w:u w:val="single"/>
        </w:rPr>
        <w:t>Etaient présents</w:t>
      </w:r>
      <w:r w:rsidRPr="001D2A52">
        <w:t> </w:t>
      </w:r>
      <w:r w:rsidRPr="001D2A52">
        <w:rPr>
          <w:b/>
        </w:rPr>
        <w:t>:</w:t>
      </w:r>
      <w:r w:rsidRPr="001D2A52">
        <w:t xml:space="preserve"> </w:t>
      </w:r>
      <w:r>
        <w:t>…………………………………………………………………………………………………………………………….</w:t>
      </w:r>
    </w:p>
    <w:p w14:paraId="0FF91DE0" w14:textId="77777777" w:rsidR="00BE4D71" w:rsidRPr="001D2A52" w:rsidRDefault="00BE4D71" w:rsidP="00BE4D71">
      <w:pPr>
        <w:jc w:val="both"/>
      </w:pPr>
      <w:r w:rsidRPr="001D2A52">
        <w:rPr>
          <w:b/>
          <w:u w:val="single"/>
        </w:rPr>
        <w:t>Etaient absents excusés</w:t>
      </w:r>
      <w:r w:rsidRPr="001D2A52">
        <w:rPr>
          <w:b/>
        </w:rPr>
        <w:t> :</w:t>
      </w:r>
      <w:r w:rsidRPr="001D2A52">
        <w:t xml:space="preserve"> </w:t>
      </w:r>
      <w:r>
        <w:t>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2FBD711" w14:textId="77777777" w:rsidR="00BE4D71" w:rsidRPr="009F3ADA" w:rsidRDefault="00BE4D71" w:rsidP="00BE4D71">
      <w:pPr>
        <w:spacing w:after="0" w:line="240" w:lineRule="auto"/>
        <w:ind w:right="-106"/>
        <w:jc w:val="both"/>
      </w:pPr>
    </w:p>
    <w:p w14:paraId="727685F5" w14:textId="77777777" w:rsidR="00BE4D71" w:rsidRPr="009F3ADA" w:rsidRDefault="00BE4D71" w:rsidP="00BE4D71">
      <w:pPr>
        <w:spacing w:after="0" w:line="240" w:lineRule="auto"/>
        <w:ind w:right="-106"/>
        <w:jc w:val="both"/>
      </w:pPr>
      <w:r w:rsidRPr="009F3ADA">
        <w:t>Vu la loi n° 83-634 du 13 juillet 1983 modifiée relative aux droits et obligations des fonctionnaires ;</w:t>
      </w:r>
    </w:p>
    <w:p w14:paraId="47FDFF97" w14:textId="77777777" w:rsidR="00BE4D71" w:rsidRPr="009F3ADA" w:rsidRDefault="00BE4D71" w:rsidP="00BE4D71">
      <w:pPr>
        <w:spacing w:after="0" w:line="240" w:lineRule="auto"/>
        <w:ind w:right="-106"/>
        <w:jc w:val="both"/>
        <w:rPr>
          <w:spacing w:val="-2"/>
        </w:rPr>
      </w:pPr>
    </w:p>
    <w:p w14:paraId="764319CC" w14:textId="77777777" w:rsidR="00BE4D71" w:rsidRPr="009F3ADA" w:rsidRDefault="00BE4D71" w:rsidP="00BE4D71">
      <w:pPr>
        <w:spacing w:after="0" w:line="240" w:lineRule="auto"/>
        <w:ind w:right="-106"/>
        <w:jc w:val="both"/>
      </w:pPr>
      <w:r w:rsidRPr="009F3ADA">
        <w:rPr>
          <w:spacing w:val="-2"/>
        </w:rPr>
        <w:t>Vu la loi n° 84-53 du 26 janvier 1984 modifiée portant dispositions statutaires relatives à la fonc</w:t>
      </w:r>
      <w:r w:rsidRPr="009F3ADA">
        <w:t>tion publique territoriale ;</w:t>
      </w:r>
    </w:p>
    <w:p w14:paraId="07418E11" w14:textId="77777777" w:rsidR="00BE4D71" w:rsidRPr="009F3ADA" w:rsidRDefault="00BE4D71" w:rsidP="00BE4D71">
      <w:pPr>
        <w:spacing w:after="0" w:line="240" w:lineRule="auto"/>
        <w:ind w:right="-106"/>
        <w:jc w:val="both"/>
        <w:rPr>
          <w:spacing w:val="-2"/>
        </w:rPr>
      </w:pPr>
    </w:p>
    <w:p w14:paraId="78F3C577" w14:textId="77777777" w:rsidR="00BE4D71" w:rsidRPr="009F3ADA" w:rsidRDefault="00BE4D71" w:rsidP="00BE4D71">
      <w:pPr>
        <w:spacing w:after="0" w:line="240" w:lineRule="auto"/>
        <w:ind w:right="-106"/>
        <w:jc w:val="both"/>
      </w:pPr>
      <w:r w:rsidRPr="009F3ADA">
        <w:rPr>
          <w:spacing w:val="-2"/>
        </w:rPr>
        <w:t>Vu le décret n° 2001-623 du 12 juillet 2001 pris pour l'application de l'article 7-1 de la loi n° 84-53</w:t>
      </w:r>
      <w:r w:rsidRPr="009F3ADA">
        <w:t xml:space="preserve"> </w:t>
      </w:r>
      <w:r w:rsidRPr="009F3ADA">
        <w:rPr>
          <w:spacing w:val="-2"/>
        </w:rPr>
        <w:t>du 26 janvier 1984 et relatif à l'aménagement et à la réduction du temps de travail dans la fonction</w:t>
      </w:r>
      <w:r w:rsidRPr="009F3ADA">
        <w:t xml:space="preserve"> publique territoriale ;</w:t>
      </w:r>
    </w:p>
    <w:p w14:paraId="3AEB5546" w14:textId="77777777" w:rsidR="00BE4D71" w:rsidRPr="009F3ADA" w:rsidRDefault="00BE4D71" w:rsidP="00BE4D71">
      <w:pPr>
        <w:spacing w:after="0" w:line="240" w:lineRule="auto"/>
        <w:ind w:right="-106"/>
        <w:jc w:val="both"/>
        <w:rPr>
          <w:spacing w:val="-2"/>
        </w:rPr>
      </w:pPr>
    </w:p>
    <w:p w14:paraId="71333FC2" w14:textId="77777777" w:rsidR="00BE4D71" w:rsidRPr="009F3ADA" w:rsidRDefault="00BE4D71" w:rsidP="00BE4D71">
      <w:pPr>
        <w:spacing w:after="0" w:line="240" w:lineRule="auto"/>
        <w:ind w:right="-106"/>
        <w:jc w:val="both"/>
      </w:pPr>
      <w:r w:rsidRPr="009F3ADA">
        <w:rPr>
          <w:spacing w:val="-2"/>
        </w:rPr>
        <w:t>Vu le décret n° 2002-147 du 7 février 2002 relatif aux modalités de rémunération</w:t>
      </w:r>
      <w:r w:rsidRPr="009F3ADA">
        <w:t xml:space="preserve"> </w:t>
      </w:r>
      <w:r w:rsidRPr="009F3ADA">
        <w:rPr>
          <w:rFonts w:cs="Garamond"/>
          <w:spacing w:val="-2"/>
        </w:rPr>
        <w:t xml:space="preserve">ou </w:t>
      </w:r>
      <w:r w:rsidRPr="009F3ADA">
        <w:rPr>
          <w:spacing w:val="-2"/>
        </w:rPr>
        <w:t>de compensation des astreintes et des interventions de certains personnels</w:t>
      </w:r>
      <w:r w:rsidRPr="009F3ADA">
        <w:t xml:space="preserve"> </w:t>
      </w:r>
      <w:r w:rsidRPr="009F3ADA">
        <w:rPr>
          <w:i/>
          <w:iCs/>
          <w:spacing w:val="-2"/>
        </w:rPr>
        <w:t xml:space="preserve">gérés </w:t>
      </w:r>
      <w:r w:rsidRPr="009F3ADA">
        <w:rPr>
          <w:spacing w:val="-2"/>
        </w:rPr>
        <w:t>par la direction générale de</w:t>
      </w:r>
      <w:r w:rsidRPr="009F3ADA">
        <w:t xml:space="preserve"> l'administration du ministère de l'intérieur ;</w:t>
      </w:r>
    </w:p>
    <w:p w14:paraId="5621F3CE" w14:textId="77777777" w:rsidR="00BE4D71" w:rsidRPr="009F3ADA" w:rsidRDefault="00BE4D71" w:rsidP="00BE4D71">
      <w:pPr>
        <w:spacing w:after="0" w:line="240" w:lineRule="auto"/>
        <w:ind w:right="-106"/>
        <w:jc w:val="both"/>
        <w:rPr>
          <w:spacing w:val="-2"/>
        </w:rPr>
      </w:pPr>
    </w:p>
    <w:p w14:paraId="6F930943" w14:textId="77777777" w:rsidR="00BE4D71" w:rsidRPr="009F3ADA" w:rsidRDefault="00BE4D71" w:rsidP="00BE4D71">
      <w:pPr>
        <w:spacing w:after="0" w:line="240" w:lineRule="auto"/>
        <w:ind w:right="-106"/>
        <w:jc w:val="both"/>
      </w:pPr>
      <w:r w:rsidRPr="009F3ADA">
        <w:rPr>
          <w:spacing w:val="-2"/>
        </w:rPr>
        <w:t>Vu le décret n° 2002-148 du 7 février 2002 relatif aux modalités de rémunération ou de compen</w:t>
      </w:r>
      <w:r w:rsidRPr="009F3ADA">
        <w:t>sation des permanences au bénéfice de certains personnels gérés par la direction générale de l'administration du ministère de l'Intérieur ;</w:t>
      </w:r>
    </w:p>
    <w:p w14:paraId="76D750F6" w14:textId="77777777" w:rsidR="00BE4D71" w:rsidRPr="009F3ADA" w:rsidRDefault="00BE4D71" w:rsidP="00BE4D71">
      <w:pPr>
        <w:pStyle w:val="Default"/>
        <w:jc w:val="both"/>
        <w:rPr>
          <w:iCs/>
          <w:sz w:val="22"/>
          <w:szCs w:val="22"/>
        </w:rPr>
      </w:pPr>
    </w:p>
    <w:p w14:paraId="3D49F6DC" w14:textId="77777777" w:rsidR="00BE4D71" w:rsidRPr="009F3ADA" w:rsidRDefault="00BE4D71" w:rsidP="00BE4D71">
      <w:pPr>
        <w:pStyle w:val="Default"/>
        <w:jc w:val="both"/>
        <w:rPr>
          <w:sz w:val="22"/>
          <w:szCs w:val="22"/>
        </w:rPr>
      </w:pPr>
      <w:r w:rsidRPr="009F3ADA">
        <w:rPr>
          <w:iCs/>
          <w:sz w:val="22"/>
          <w:szCs w:val="22"/>
        </w:rPr>
        <w:t xml:space="preserve">Vu le décret n° 2005-542 du 19 mai 2005 relatif aux modalités de la rémunération ou de la compensation des astreintes et des permanences dans la Fonction publique territoriale, </w:t>
      </w:r>
    </w:p>
    <w:p w14:paraId="59903BC0" w14:textId="77777777" w:rsidR="00BE4D71" w:rsidRPr="009F3ADA" w:rsidRDefault="00BE4D71" w:rsidP="00BE4D71">
      <w:pPr>
        <w:pStyle w:val="Default"/>
        <w:jc w:val="both"/>
        <w:rPr>
          <w:iCs/>
          <w:sz w:val="22"/>
          <w:szCs w:val="22"/>
        </w:rPr>
      </w:pPr>
    </w:p>
    <w:p w14:paraId="0D5108D3" w14:textId="77777777" w:rsidR="00BE4D71" w:rsidRPr="009F3ADA" w:rsidRDefault="00BE4D71" w:rsidP="00BE4D71">
      <w:pPr>
        <w:pStyle w:val="Default"/>
        <w:jc w:val="both"/>
        <w:rPr>
          <w:sz w:val="22"/>
          <w:szCs w:val="22"/>
        </w:rPr>
      </w:pPr>
      <w:r w:rsidRPr="009F3ADA">
        <w:rPr>
          <w:iCs/>
          <w:sz w:val="22"/>
          <w:szCs w:val="22"/>
        </w:rPr>
        <w:t>Vu le d</w:t>
      </w:r>
      <w:r w:rsidRPr="009F3ADA">
        <w:rPr>
          <w:sz w:val="22"/>
          <w:szCs w:val="22"/>
        </w:rPr>
        <w:t xml:space="preserve">écret n° 2015-415 du 14 avril 2015 relatif à l'indemnisation des astreintes et à la compensation ou à la rémunération des interventions aux ministères chargés du développement durable et du logement </w:t>
      </w:r>
    </w:p>
    <w:p w14:paraId="78CC327B" w14:textId="77777777" w:rsidR="00BE4D71" w:rsidRPr="009F3ADA" w:rsidRDefault="00BE4D71" w:rsidP="00BE4D71">
      <w:pPr>
        <w:pStyle w:val="Default"/>
        <w:jc w:val="both"/>
        <w:rPr>
          <w:iCs/>
          <w:sz w:val="22"/>
          <w:szCs w:val="22"/>
        </w:rPr>
      </w:pPr>
    </w:p>
    <w:p w14:paraId="4CB9A2DA" w14:textId="77777777" w:rsidR="00BE4D71" w:rsidRPr="009F3ADA" w:rsidRDefault="00BE4D71" w:rsidP="00BE4D71">
      <w:pPr>
        <w:pStyle w:val="Default"/>
        <w:jc w:val="both"/>
        <w:rPr>
          <w:sz w:val="22"/>
          <w:szCs w:val="22"/>
        </w:rPr>
      </w:pPr>
      <w:r w:rsidRPr="009F3ADA">
        <w:rPr>
          <w:iCs/>
          <w:sz w:val="22"/>
          <w:szCs w:val="22"/>
        </w:rPr>
        <w:lastRenderedPageBreak/>
        <w:t>Vu l’ar</w:t>
      </w:r>
      <w:r w:rsidRPr="009F3ADA">
        <w:rPr>
          <w:sz w:val="22"/>
          <w:szCs w:val="22"/>
        </w:rPr>
        <w:t xml:space="preserve">rêté du 7 février 2002 fixant les taux des indemnités et les modalités de compensation des astreintes et des interventions en application du décret n° 2002-147 du 7 février 2002 relatif aux modalités de rémunération ou de compensation des astreintes et des interventions de certains personnels gérés par la direction générale de l'administration du ministère de l'intérieur </w:t>
      </w:r>
    </w:p>
    <w:p w14:paraId="08A95CF1" w14:textId="77777777" w:rsidR="00BE4D71" w:rsidRPr="009F3ADA" w:rsidRDefault="00BE4D71" w:rsidP="00BE4D71">
      <w:pPr>
        <w:spacing w:after="0" w:line="240" w:lineRule="auto"/>
        <w:ind w:right="-106"/>
        <w:jc w:val="both"/>
        <w:rPr>
          <w:iCs/>
        </w:rPr>
      </w:pPr>
    </w:p>
    <w:p w14:paraId="645F3190" w14:textId="77777777" w:rsidR="00BE4D71" w:rsidRPr="009F3ADA" w:rsidRDefault="00BE4D71" w:rsidP="00BE4D71">
      <w:pPr>
        <w:spacing w:after="0" w:line="240" w:lineRule="auto"/>
        <w:ind w:right="-106"/>
        <w:jc w:val="both"/>
      </w:pPr>
      <w:r w:rsidRPr="009F3ADA">
        <w:rPr>
          <w:iCs/>
        </w:rPr>
        <w:t>Vu l’a</w:t>
      </w:r>
      <w:r w:rsidRPr="009F3ADA">
        <w:t>rrêté du 14 avril 2015 fixant les montants de l'indemnité d'astreinte et la rémunération horaire des interventions aux ministères chargés du développement durable et du logement</w:t>
      </w:r>
    </w:p>
    <w:p w14:paraId="32FD3B01" w14:textId="77777777" w:rsidR="00BE4D71" w:rsidRPr="009F3ADA" w:rsidRDefault="00BE4D71" w:rsidP="00BE4D71">
      <w:pPr>
        <w:spacing w:after="0" w:line="240" w:lineRule="auto"/>
        <w:ind w:right="-106"/>
        <w:jc w:val="both"/>
      </w:pPr>
    </w:p>
    <w:p w14:paraId="37CD5919" w14:textId="77777777" w:rsidR="00BE4D71" w:rsidRPr="009F3ADA" w:rsidRDefault="00BE4D71" w:rsidP="00BE4D71">
      <w:pPr>
        <w:spacing w:after="0" w:line="240" w:lineRule="auto"/>
        <w:ind w:right="-106"/>
        <w:jc w:val="both"/>
      </w:pPr>
      <w:r w:rsidRPr="009F3ADA">
        <w:t>Vu l'avis du Comité technique en date du ... ;</w:t>
      </w:r>
    </w:p>
    <w:p w14:paraId="5BDFF5B6" w14:textId="77777777" w:rsidR="00BE4D71" w:rsidRPr="009F3ADA" w:rsidRDefault="00BE4D71" w:rsidP="00BE4D7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color w:val="000000"/>
        </w:rPr>
      </w:pPr>
    </w:p>
    <w:p w14:paraId="39E23AF5" w14:textId="77777777" w:rsidR="00BE4D71" w:rsidRPr="009F3ADA" w:rsidRDefault="00BE4D71" w:rsidP="00BE4D7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color w:val="000000"/>
        </w:rPr>
      </w:pPr>
    </w:p>
    <w:p w14:paraId="36FC9BCD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rFonts w:cs="Bookman Old Style"/>
          <w:b/>
          <w:bCs/>
          <w:i/>
          <w:spacing w:val="4"/>
        </w:rPr>
      </w:pPr>
      <w:r w:rsidRPr="009F3ADA">
        <w:rPr>
          <w:b/>
          <w:bCs/>
          <w:i/>
        </w:rPr>
        <w:t xml:space="preserve">I - </w:t>
      </w:r>
      <w:r w:rsidRPr="009F3ADA">
        <w:rPr>
          <w:rFonts w:cs="Bookman Old Style"/>
          <w:b/>
          <w:bCs/>
          <w:i/>
          <w:spacing w:val="4"/>
        </w:rPr>
        <w:t>RÉGIME DES ASTREINTES</w:t>
      </w:r>
    </w:p>
    <w:p w14:paraId="13F1D64D" w14:textId="77777777" w:rsidR="00BE4D71" w:rsidRPr="009F3ADA" w:rsidRDefault="00BE4D71" w:rsidP="00BE4D71">
      <w:pPr>
        <w:spacing w:after="0" w:line="240" w:lineRule="auto"/>
        <w:ind w:right="-106"/>
        <w:jc w:val="both"/>
        <w:rPr>
          <w:rFonts w:cs="Bookman Old Style"/>
          <w:b/>
          <w:bCs/>
          <w:spacing w:val="4"/>
        </w:rPr>
      </w:pPr>
    </w:p>
    <w:p w14:paraId="3FB6FEBF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  <w:r w:rsidRPr="009F3ADA">
        <w:rPr>
          <w:b/>
          <w:bCs/>
        </w:rPr>
        <w:t>Article 1 - Cas de recours à l'astreinte</w:t>
      </w:r>
    </w:p>
    <w:p w14:paraId="6A57B6C2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i/>
          <w:iCs/>
        </w:rPr>
      </w:pPr>
      <w:r w:rsidRPr="009F3ADA">
        <w:rPr>
          <w:i/>
          <w:iCs/>
        </w:rPr>
        <w:t xml:space="preserve">Il faut lister dans quels </w:t>
      </w:r>
      <w:r w:rsidRPr="009F3ADA">
        <w:rPr>
          <w:i/>
          <w:iCs/>
          <w:spacing w:val="8"/>
        </w:rPr>
        <w:t xml:space="preserve">cas </w:t>
      </w:r>
      <w:r w:rsidRPr="009F3ADA">
        <w:rPr>
          <w:i/>
          <w:iCs/>
        </w:rPr>
        <w:t>on peut recourir à une astreinte :</w:t>
      </w:r>
    </w:p>
    <w:p w14:paraId="420B145B" w14:textId="77777777" w:rsidR="00BE4D71" w:rsidRPr="009F3ADA" w:rsidRDefault="00BE4D71" w:rsidP="00BE4D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106" w:hanging="360"/>
        <w:jc w:val="both"/>
        <w:rPr>
          <w:i/>
          <w:i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détermination des jours (exemple : samedis, dimanches et jours fériés) ;</w:t>
      </w:r>
    </w:p>
    <w:p w14:paraId="3E18C5C5" w14:textId="77777777" w:rsidR="00BE4D71" w:rsidRPr="009F3ADA" w:rsidRDefault="00BE4D71" w:rsidP="00BE4D7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right="-106" w:hanging="360"/>
        <w:jc w:val="both"/>
        <w:rPr>
          <w:i/>
          <w:i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détermination des services concernés (exemple : service voirie, service police municipale, service culturel...).</w:t>
      </w:r>
    </w:p>
    <w:p w14:paraId="5767E0D2" w14:textId="77777777" w:rsidR="00BE4D71" w:rsidRPr="009F3ADA" w:rsidRDefault="00BE4D71" w:rsidP="00BE4D71">
      <w:pPr>
        <w:spacing w:after="0" w:line="240" w:lineRule="auto"/>
        <w:ind w:right="-106"/>
        <w:jc w:val="both"/>
        <w:rPr>
          <w:b/>
          <w:bCs/>
        </w:rPr>
      </w:pPr>
    </w:p>
    <w:p w14:paraId="4728B25A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  <w:r w:rsidRPr="009F3ADA">
        <w:rPr>
          <w:b/>
          <w:bCs/>
        </w:rPr>
        <w:t>Article 2 - Modalités d'organisation</w:t>
      </w:r>
    </w:p>
    <w:p w14:paraId="7F4F0D45" w14:textId="77777777" w:rsidR="00BE4D71" w:rsidRPr="009F3ADA" w:rsidRDefault="00BE4D71" w:rsidP="00BE4D71">
      <w:pPr>
        <w:spacing w:after="0" w:line="240" w:lineRule="auto"/>
        <w:ind w:left="284" w:right="-106" w:hanging="251"/>
        <w:jc w:val="both"/>
        <w:rPr>
          <w:i/>
          <w:iCs/>
        </w:rPr>
      </w:pPr>
      <w:r w:rsidRPr="009F3ADA">
        <w:rPr>
          <w:i/>
          <w:iCs/>
        </w:rPr>
        <w:t>Il faut déterminer de façon précise :</w:t>
      </w:r>
    </w:p>
    <w:p w14:paraId="16BD0375" w14:textId="77777777" w:rsidR="00BE4D71" w:rsidRPr="009F3ADA" w:rsidRDefault="00BE4D71" w:rsidP="00BE4D71">
      <w:pPr>
        <w:spacing w:after="0" w:line="240" w:lineRule="auto"/>
        <w:ind w:left="426" w:right="-106" w:hanging="393"/>
        <w:jc w:val="both"/>
        <w:rPr>
          <w:i/>
          <w:iCs/>
        </w:rPr>
      </w:pPr>
      <w:r w:rsidRPr="009F3ADA">
        <w:rPr>
          <w:i/>
          <w:iCs/>
        </w:rPr>
        <w:t>-</w:t>
      </w:r>
      <w:r w:rsidRPr="009F3ADA">
        <w:rPr>
          <w:i/>
          <w:iCs/>
        </w:rPr>
        <w:tab/>
        <w:t>les heures de début et de fin de la période d'astreinte ;</w:t>
      </w:r>
    </w:p>
    <w:p w14:paraId="6C3A6EDA" w14:textId="77777777" w:rsidR="00BE4D71" w:rsidRPr="009F3ADA" w:rsidRDefault="00BE4D71" w:rsidP="00BE4D7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les</w:t>
      </w:r>
      <w:proofErr w:type="gramEnd"/>
      <w:r w:rsidRPr="009F3ADA">
        <w:rPr>
          <w:i/>
          <w:iCs/>
        </w:rPr>
        <w:t xml:space="preserve"> moyens de communication mis en place pour prévenir l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>agent d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>astreinte ;</w:t>
      </w:r>
    </w:p>
    <w:p w14:paraId="18BB88C0" w14:textId="77777777" w:rsidR="00BE4D71" w:rsidRPr="009F3ADA" w:rsidRDefault="00BE4D71" w:rsidP="00BE4D7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les</w:t>
      </w:r>
      <w:proofErr w:type="gramEnd"/>
      <w:r w:rsidRPr="009F3ADA">
        <w:rPr>
          <w:i/>
          <w:iCs/>
        </w:rPr>
        <w:t xml:space="preserve"> obligations pesant sur l'agent d'astreinte ;</w:t>
      </w:r>
    </w:p>
    <w:p w14:paraId="6D79E26C" w14:textId="77777777" w:rsidR="00BE4D71" w:rsidRPr="009F3ADA" w:rsidRDefault="00BE4D71" w:rsidP="00BE4D7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la</w:t>
      </w:r>
      <w:proofErr w:type="gramEnd"/>
      <w:r w:rsidRPr="009F3ADA">
        <w:rPr>
          <w:i/>
          <w:iCs/>
        </w:rPr>
        <w:t xml:space="preserve"> définition des missions pour lesquelles il est mandaté pour intervenir;</w:t>
      </w:r>
    </w:p>
    <w:p w14:paraId="77F03DAB" w14:textId="77777777" w:rsidR="00BE4D71" w:rsidRPr="009F3ADA" w:rsidRDefault="00BE4D71" w:rsidP="00BE4D7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la</w:t>
      </w:r>
      <w:proofErr w:type="gramEnd"/>
      <w:r w:rsidRPr="009F3ADA">
        <w:rPr>
          <w:i/>
          <w:iCs/>
        </w:rPr>
        <w:t xml:space="preserve"> manière dont sont comptabilisées les périodes d'intervention...</w:t>
      </w:r>
    </w:p>
    <w:p w14:paraId="567AD3D0" w14:textId="77777777" w:rsidR="00BE4D71" w:rsidRPr="009F3ADA" w:rsidRDefault="00BE4D71" w:rsidP="00BE4D71">
      <w:pPr>
        <w:spacing w:after="0" w:line="240" w:lineRule="auto"/>
        <w:ind w:right="-106"/>
        <w:jc w:val="both"/>
      </w:pPr>
    </w:p>
    <w:p w14:paraId="411CB4CB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  <w:r w:rsidRPr="009F3ADA">
        <w:rPr>
          <w:b/>
          <w:bCs/>
        </w:rPr>
        <w:t>Article 3 - Emplois concernés</w:t>
      </w:r>
    </w:p>
    <w:p w14:paraId="0550AE9C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i/>
          <w:iCs/>
        </w:rPr>
      </w:pPr>
      <w:r w:rsidRPr="009F3ADA">
        <w:rPr>
          <w:i/>
          <w:iCs/>
        </w:rPr>
        <w:t>Lister les emplois concernés :</w:t>
      </w:r>
    </w:p>
    <w:p w14:paraId="03474881" w14:textId="77777777" w:rsidR="00BE4D71" w:rsidRPr="009F3ADA" w:rsidRDefault="00BE4D71" w:rsidP="00BE4D7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niveau de responsabilité ;</w:t>
      </w:r>
    </w:p>
    <w:p w14:paraId="60B52852" w14:textId="77777777" w:rsidR="00BE4D71" w:rsidRPr="009F3ADA" w:rsidRDefault="00BE4D71" w:rsidP="00BE4D71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référence à l'organigramme ;</w:t>
      </w:r>
    </w:p>
    <w:p w14:paraId="20D8B91F" w14:textId="77777777" w:rsidR="00BE4D71" w:rsidRPr="009F3ADA" w:rsidRDefault="00BE4D71" w:rsidP="00BE4D7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06" w:hanging="393"/>
        <w:jc w:val="both"/>
        <w:rPr>
          <w:b/>
          <w:b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référence aux fiches de poste.</w:t>
      </w:r>
    </w:p>
    <w:p w14:paraId="354290E3" w14:textId="77777777" w:rsidR="00BE4D71" w:rsidRPr="009F3ADA" w:rsidRDefault="00BE4D71" w:rsidP="00BE4D71">
      <w:pPr>
        <w:spacing w:after="0" w:line="240" w:lineRule="auto"/>
        <w:ind w:right="-106"/>
        <w:jc w:val="both"/>
        <w:rPr>
          <w:b/>
          <w:bCs/>
        </w:rPr>
      </w:pPr>
    </w:p>
    <w:p w14:paraId="55BD17E6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  <w:r w:rsidRPr="009F3ADA">
        <w:rPr>
          <w:b/>
          <w:bCs/>
        </w:rPr>
        <w:t>Article 4 - Modalités de rémunération ou de compensation</w:t>
      </w:r>
    </w:p>
    <w:p w14:paraId="524ABEAD" w14:textId="77777777" w:rsidR="00BE4D71" w:rsidRPr="009F3ADA" w:rsidRDefault="00BE4D71" w:rsidP="00BE4D7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-106" w:hanging="216"/>
        <w:jc w:val="both"/>
        <w:rPr>
          <w:i/>
          <w:iCs/>
        </w:rPr>
      </w:pPr>
      <w:proofErr w:type="gramStart"/>
      <w:r w:rsidRPr="009F3ADA">
        <w:rPr>
          <w:i/>
          <w:iCs/>
        </w:rPr>
        <w:t>déterminer</w:t>
      </w:r>
      <w:proofErr w:type="gramEnd"/>
      <w:r w:rsidRPr="009F3ADA">
        <w:rPr>
          <w:i/>
          <w:iCs/>
        </w:rPr>
        <w:t xml:space="preserve"> si les astreintes donneront lieu à rémunération ou à compensation ;</w:t>
      </w:r>
    </w:p>
    <w:p w14:paraId="1881D0CF" w14:textId="77777777" w:rsidR="00BE4D71" w:rsidRPr="009F3ADA" w:rsidRDefault="00BE4D71" w:rsidP="00BE4D7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-106" w:hanging="216"/>
        <w:jc w:val="both"/>
        <w:rPr>
          <w:i/>
          <w:iCs/>
        </w:rPr>
      </w:pPr>
      <w:proofErr w:type="gramStart"/>
      <w:r w:rsidRPr="009F3ADA">
        <w:rPr>
          <w:i/>
          <w:iCs/>
        </w:rPr>
        <w:t>s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>il</w:t>
      </w:r>
      <w:proofErr w:type="gramEnd"/>
      <w:r w:rsidRPr="009F3ADA">
        <w:rPr>
          <w:i/>
          <w:iCs/>
        </w:rPr>
        <w:t xml:space="preserve"> s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>agit d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>un régime mixte préciser les cas qui donneront lieu à rémunération et les cas qui donneront lieu à compensation.</w:t>
      </w:r>
    </w:p>
    <w:p w14:paraId="4734667F" w14:textId="77777777" w:rsidR="00BE4D71" w:rsidRPr="009F3ADA" w:rsidRDefault="00BE4D71" w:rsidP="00BE4D71">
      <w:pPr>
        <w:tabs>
          <w:tab w:val="num" w:pos="432"/>
        </w:tabs>
        <w:spacing w:after="0" w:line="240" w:lineRule="auto"/>
        <w:ind w:left="216" w:right="-106" w:hanging="216"/>
        <w:jc w:val="both"/>
        <w:rPr>
          <w:rFonts w:cs="Garamond"/>
          <w:b/>
          <w:bCs/>
        </w:rPr>
      </w:pPr>
    </w:p>
    <w:p w14:paraId="404CF30C" w14:textId="77777777" w:rsidR="00BE4D71" w:rsidRPr="009F3ADA" w:rsidRDefault="00BE4D71" w:rsidP="00BE4D71">
      <w:pPr>
        <w:spacing w:after="0" w:line="240" w:lineRule="auto"/>
        <w:ind w:right="-106"/>
        <w:jc w:val="both"/>
        <w:rPr>
          <w:rFonts w:cs="Garamond"/>
          <w:b/>
          <w:bCs/>
        </w:rPr>
      </w:pPr>
    </w:p>
    <w:p w14:paraId="6314F630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rFonts w:cs="Bookman Old Style"/>
          <w:b/>
          <w:bCs/>
          <w:i/>
          <w:spacing w:val="6"/>
        </w:rPr>
      </w:pPr>
      <w:r w:rsidRPr="009F3ADA">
        <w:rPr>
          <w:rFonts w:cs="Garamond"/>
          <w:b/>
          <w:bCs/>
          <w:i/>
        </w:rPr>
        <w:t xml:space="preserve">II - </w:t>
      </w:r>
      <w:r w:rsidRPr="009F3ADA">
        <w:rPr>
          <w:rFonts w:cs="Bookman Old Style"/>
          <w:b/>
          <w:bCs/>
          <w:i/>
          <w:spacing w:val="6"/>
        </w:rPr>
        <w:t>RÉGIME DES PERMANENCES</w:t>
      </w:r>
    </w:p>
    <w:p w14:paraId="36357FAE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</w:p>
    <w:p w14:paraId="3D7013CC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  <w:r w:rsidRPr="009F3ADA">
        <w:rPr>
          <w:b/>
          <w:bCs/>
        </w:rPr>
        <w:t>Article 5 - Cas de recours à la permanence</w:t>
      </w:r>
    </w:p>
    <w:p w14:paraId="0FB44DEE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i/>
          <w:iCs/>
        </w:rPr>
      </w:pPr>
      <w:r w:rsidRPr="009F3ADA">
        <w:rPr>
          <w:i/>
          <w:iCs/>
        </w:rPr>
        <w:t>Il faut lister dans quels cas on peut recourir à une permanence :</w:t>
      </w:r>
    </w:p>
    <w:p w14:paraId="131E6E9E" w14:textId="77777777" w:rsidR="00BE4D71" w:rsidRPr="009F3ADA" w:rsidRDefault="00BE4D71" w:rsidP="00BE4D71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détermination des jours (attention : samedis, dimanches et jours fériés uniquement) ;</w:t>
      </w:r>
    </w:p>
    <w:p w14:paraId="11865DFF" w14:textId="77777777" w:rsidR="00BE4D71" w:rsidRPr="009F3ADA" w:rsidRDefault="00BE4D71" w:rsidP="00BE4D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détermination des services concernés.</w:t>
      </w:r>
    </w:p>
    <w:p w14:paraId="6AD0B4C2" w14:textId="77777777" w:rsidR="00BE4D71" w:rsidRPr="009F3ADA" w:rsidRDefault="00BE4D71" w:rsidP="00BE4D71">
      <w:pPr>
        <w:spacing w:after="0" w:line="240" w:lineRule="auto"/>
        <w:ind w:right="-106"/>
        <w:jc w:val="both"/>
        <w:rPr>
          <w:i/>
          <w:iCs/>
        </w:rPr>
      </w:pPr>
    </w:p>
    <w:p w14:paraId="63B36E5C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  <w:r w:rsidRPr="009F3ADA">
        <w:rPr>
          <w:b/>
          <w:bCs/>
        </w:rPr>
        <w:t>Article 6 - Modalités d'organisation</w:t>
      </w:r>
    </w:p>
    <w:p w14:paraId="759DB13C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i/>
          <w:iCs/>
        </w:rPr>
      </w:pPr>
      <w:r w:rsidRPr="009F3ADA">
        <w:rPr>
          <w:i/>
          <w:iCs/>
        </w:rPr>
        <w:t>Il faut déterminer de façon précise :</w:t>
      </w:r>
    </w:p>
    <w:p w14:paraId="3DA547A1" w14:textId="77777777" w:rsidR="00BE4D71" w:rsidRPr="009F3ADA" w:rsidRDefault="00BE4D71" w:rsidP="00BE4D7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le</w:t>
      </w:r>
      <w:proofErr w:type="gramEnd"/>
      <w:r w:rsidRPr="009F3ADA">
        <w:rPr>
          <w:i/>
          <w:iCs/>
        </w:rPr>
        <w:t xml:space="preserve"> lieu de travail où s'effectue la permanence ;</w:t>
      </w:r>
    </w:p>
    <w:p w14:paraId="08B9B6A5" w14:textId="77777777" w:rsidR="00BE4D71" w:rsidRPr="009F3ADA" w:rsidRDefault="00BE4D71" w:rsidP="00BE4D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les</w:t>
      </w:r>
      <w:proofErr w:type="gramEnd"/>
      <w:r w:rsidRPr="009F3ADA">
        <w:rPr>
          <w:i/>
          <w:iCs/>
        </w:rPr>
        <w:t xml:space="preserve"> conditions matérielles offertes à l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>agent ;</w:t>
      </w:r>
    </w:p>
    <w:p w14:paraId="57A09289" w14:textId="77777777" w:rsidR="00BE4D71" w:rsidRPr="009F3ADA" w:rsidRDefault="00BE4D71" w:rsidP="00BE4D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les</w:t>
      </w:r>
      <w:proofErr w:type="gramEnd"/>
      <w:r w:rsidRPr="009F3ADA">
        <w:rPr>
          <w:i/>
          <w:iCs/>
        </w:rPr>
        <w:t xml:space="preserve"> heures de début et de fin de la permanence ;</w:t>
      </w:r>
    </w:p>
    <w:p w14:paraId="46226D42" w14:textId="77777777" w:rsidR="00BE4D71" w:rsidRPr="009F3ADA" w:rsidRDefault="00BE4D71" w:rsidP="00BE4D7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la</w:t>
      </w:r>
      <w:proofErr w:type="gramEnd"/>
      <w:r w:rsidRPr="009F3ADA">
        <w:rPr>
          <w:i/>
          <w:iCs/>
        </w:rPr>
        <w:t xml:space="preserve"> définition des missions pour lesquelles il est mandaté pour intervenir.</w:t>
      </w:r>
    </w:p>
    <w:p w14:paraId="630E1A1B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  <w:r w:rsidRPr="009F3ADA">
        <w:rPr>
          <w:b/>
          <w:bCs/>
        </w:rPr>
        <w:t>Article 7 - Emplois concernés</w:t>
      </w:r>
    </w:p>
    <w:p w14:paraId="2F0C6F2D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i/>
          <w:iCs/>
        </w:rPr>
      </w:pPr>
      <w:r w:rsidRPr="009F3ADA">
        <w:rPr>
          <w:i/>
          <w:iCs/>
        </w:rPr>
        <w:t>Lister les emplois concernés :</w:t>
      </w:r>
    </w:p>
    <w:p w14:paraId="0B11E45F" w14:textId="77777777" w:rsidR="00BE4D71" w:rsidRPr="009F3ADA" w:rsidRDefault="00BE4D71" w:rsidP="00BE4D7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right="-106" w:hanging="393"/>
        <w:jc w:val="both"/>
        <w:rPr>
          <w:i/>
          <w:i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niveau de responsabilité ;</w:t>
      </w:r>
    </w:p>
    <w:p w14:paraId="4872CDE1" w14:textId="77777777" w:rsidR="00BE4D71" w:rsidRPr="009F3ADA" w:rsidRDefault="00BE4D71" w:rsidP="00BE4D7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-106" w:hanging="393"/>
        <w:jc w:val="both"/>
        <w:rPr>
          <w:b/>
          <w:b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référence à l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 xml:space="preserve">organigramme </w:t>
      </w:r>
    </w:p>
    <w:p w14:paraId="77510182" w14:textId="77777777" w:rsidR="00BE4D71" w:rsidRPr="009F3ADA" w:rsidRDefault="00BE4D71" w:rsidP="00BE4D7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-106" w:hanging="393"/>
        <w:jc w:val="both"/>
        <w:rPr>
          <w:b/>
          <w:bCs/>
        </w:rPr>
      </w:pPr>
      <w:proofErr w:type="gramStart"/>
      <w:r w:rsidRPr="009F3ADA">
        <w:rPr>
          <w:i/>
          <w:iCs/>
        </w:rPr>
        <w:t>par</w:t>
      </w:r>
      <w:proofErr w:type="gramEnd"/>
      <w:r w:rsidRPr="009F3ADA">
        <w:rPr>
          <w:i/>
          <w:iCs/>
        </w:rPr>
        <w:t xml:space="preserve"> référence aux fiches de poste.</w:t>
      </w:r>
    </w:p>
    <w:p w14:paraId="79B3D115" w14:textId="77777777" w:rsidR="00BE4D71" w:rsidRPr="009F3ADA" w:rsidRDefault="00BE4D71" w:rsidP="00BE4D71">
      <w:pPr>
        <w:spacing w:after="0" w:line="240" w:lineRule="auto"/>
        <w:ind w:right="-106"/>
        <w:jc w:val="both"/>
        <w:rPr>
          <w:b/>
          <w:bCs/>
        </w:rPr>
      </w:pPr>
    </w:p>
    <w:p w14:paraId="02691263" w14:textId="77777777" w:rsidR="00BE4D71" w:rsidRPr="009F3ADA" w:rsidRDefault="00BE4D71" w:rsidP="00BE4D71">
      <w:pPr>
        <w:spacing w:after="0" w:line="240" w:lineRule="auto"/>
        <w:ind w:left="33" w:right="-106"/>
        <w:jc w:val="both"/>
        <w:rPr>
          <w:b/>
          <w:bCs/>
        </w:rPr>
      </w:pPr>
      <w:r w:rsidRPr="009F3ADA">
        <w:rPr>
          <w:b/>
          <w:bCs/>
        </w:rPr>
        <w:t>Article 8 - Modalités de rémunération ou de compensation</w:t>
      </w:r>
    </w:p>
    <w:p w14:paraId="13F307E8" w14:textId="77777777" w:rsidR="00BE4D71" w:rsidRPr="009F3ADA" w:rsidRDefault="00BE4D71" w:rsidP="00BE4D7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-106" w:hanging="426"/>
        <w:jc w:val="both"/>
        <w:rPr>
          <w:i/>
          <w:iCs/>
        </w:rPr>
      </w:pPr>
      <w:proofErr w:type="gramStart"/>
      <w:r w:rsidRPr="009F3ADA">
        <w:rPr>
          <w:i/>
          <w:iCs/>
        </w:rPr>
        <w:t>déterminer</w:t>
      </w:r>
      <w:proofErr w:type="gramEnd"/>
      <w:r w:rsidRPr="009F3ADA">
        <w:rPr>
          <w:i/>
          <w:iCs/>
        </w:rPr>
        <w:t xml:space="preserve"> si les permanences donneront lieu à rémunération ou à compensation ;</w:t>
      </w:r>
    </w:p>
    <w:p w14:paraId="6D82FBA4" w14:textId="77777777" w:rsidR="00BE4D71" w:rsidRPr="009F3ADA" w:rsidRDefault="00BE4D71" w:rsidP="00BE4D7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-106" w:hanging="426"/>
        <w:jc w:val="both"/>
        <w:rPr>
          <w:i/>
          <w:iCs/>
        </w:rPr>
      </w:pPr>
      <w:proofErr w:type="gramStart"/>
      <w:r w:rsidRPr="009F3ADA">
        <w:rPr>
          <w:i/>
          <w:iCs/>
        </w:rPr>
        <w:t>s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>il</w:t>
      </w:r>
      <w:proofErr w:type="gramEnd"/>
      <w:r w:rsidRPr="009F3ADA">
        <w:rPr>
          <w:i/>
          <w:iCs/>
        </w:rPr>
        <w:t xml:space="preserve"> s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>agit d</w:t>
      </w:r>
      <w:r w:rsidRPr="009F3ADA">
        <w:rPr>
          <w:i/>
          <w:iCs/>
          <w:vertAlign w:val="superscript"/>
        </w:rPr>
        <w:t>'</w:t>
      </w:r>
      <w:r w:rsidRPr="009F3ADA">
        <w:rPr>
          <w:i/>
          <w:iCs/>
        </w:rPr>
        <w:t xml:space="preserve">un régime mixte, déterminer les </w:t>
      </w:r>
      <w:r w:rsidRPr="009F3ADA">
        <w:rPr>
          <w:rFonts w:cs="Bookman Old Style"/>
          <w:i/>
          <w:iCs/>
          <w:spacing w:val="-2"/>
        </w:rPr>
        <w:t xml:space="preserve">cas </w:t>
      </w:r>
      <w:r w:rsidRPr="009F3ADA">
        <w:rPr>
          <w:i/>
          <w:iCs/>
        </w:rPr>
        <w:t>qui donneront lieu à rémunération et les cas qui donneront lieu à compensation ;</w:t>
      </w:r>
    </w:p>
    <w:p w14:paraId="54FCA170" w14:textId="77777777" w:rsidR="00BE4D71" w:rsidRPr="009F3ADA" w:rsidRDefault="00BE4D71" w:rsidP="00BE4D7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-106" w:hanging="426"/>
        <w:jc w:val="both"/>
        <w:rPr>
          <w:i/>
          <w:iCs/>
        </w:rPr>
      </w:pPr>
      <w:proofErr w:type="gramStart"/>
      <w:r w:rsidRPr="009F3ADA">
        <w:rPr>
          <w:i/>
          <w:iCs/>
        </w:rPr>
        <w:t>définir</w:t>
      </w:r>
      <w:proofErr w:type="gramEnd"/>
      <w:r w:rsidRPr="009F3ADA">
        <w:rPr>
          <w:i/>
          <w:iCs/>
        </w:rPr>
        <w:t xml:space="preserve"> les modalités de compensation pour les agents de la filière technique et des autres filières (le cas échéant)</w:t>
      </w:r>
    </w:p>
    <w:p w14:paraId="7ACA1E06" w14:textId="77777777" w:rsidR="00BE4D71" w:rsidRPr="009F3ADA" w:rsidRDefault="00BE4D71" w:rsidP="00BE4D71">
      <w:pPr>
        <w:pStyle w:val="Pieddepage"/>
        <w:tabs>
          <w:tab w:val="clear" w:pos="4536"/>
          <w:tab w:val="clear" w:pos="9072"/>
          <w:tab w:val="left" w:pos="720"/>
        </w:tabs>
        <w:jc w:val="both"/>
        <w:rPr>
          <w:color w:val="0000FF"/>
        </w:rPr>
      </w:pPr>
    </w:p>
    <w:p w14:paraId="36EED24D" w14:textId="77777777" w:rsidR="00BE4D71" w:rsidRPr="009F3ADA" w:rsidRDefault="00BE4D71" w:rsidP="00BE4D71">
      <w:pPr>
        <w:pStyle w:val="Corpsdetexte"/>
        <w:spacing w:after="0" w:line="240" w:lineRule="auto"/>
        <w:jc w:val="both"/>
        <w:rPr>
          <w:b/>
          <w:bCs/>
        </w:rPr>
      </w:pPr>
      <w:r w:rsidRPr="009F3ADA">
        <w:rPr>
          <w:b/>
          <w:bCs/>
        </w:rPr>
        <w:t>Le Conseil Municipal, après en avoir délibéré :</w:t>
      </w:r>
    </w:p>
    <w:p w14:paraId="0306B336" w14:textId="77777777" w:rsidR="00BE4D71" w:rsidRPr="009F3ADA" w:rsidRDefault="00BE4D71" w:rsidP="00BE4D71">
      <w:pPr>
        <w:pStyle w:val="Textebrut"/>
        <w:jc w:val="both"/>
        <w:rPr>
          <w:rFonts w:ascii="Calibri" w:hAnsi="Calibri"/>
          <w:b/>
          <w:bCs/>
          <w:sz w:val="22"/>
          <w:szCs w:val="22"/>
        </w:rPr>
      </w:pPr>
    </w:p>
    <w:p w14:paraId="3315CCED" w14:textId="77777777" w:rsidR="00BE4D71" w:rsidRPr="009F3ADA" w:rsidRDefault="00BE4D71" w:rsidP="00BE4D71">
      <w:pPr>
        <w:pStyle w:val="Textebrut"/>
        <w:jc w:val="both"/>
        <w:rPr>
          <w:rFonts w:ascii="Calibri" w:hAnsi="Calibri"/>
          <w:sz w:val="22"/>
          <w:szCs w:val="22"/>
        </w:rPr>
      </w:pPr>
      <w:r w:rsidRPr="009F3ADA">
        <w:rPr>
          <w:rFonts w:ascii="Calibri" w:hAnsi="Calibri"/>
          <w:b/>
          <w:bCs/>
          <w:sz w:val="22"/>
          <w:szCs w:val="22"/>
        </w:rPr>
        <w:t xml:space="preserve">DECIDE, à l’unanimité des membres présents  </w:t>
      </w:r>
      <w:r w:rsidRPr="009F3ADA">
        <w:rPr>
          <w:rFonts w:ascii="Calibri" w:hAnsi="Calibri"/>
          <w:sz w:val="22"/>
          <w:szCs w:val="22"/>
        </w:rPr>
        <w:t>d’instituer le régime des astreintes (et/ou de permanences) dans la collectivité selon les modalités exposées ci-dessus et qu'il appartiendra à l'autorité territoriale de les mettre en place dans le respect des dispositions législatives, réglementaires et de la présente délibération.</w:t>
      </w:r>
    </w:p>
    <w:p w14:paraId="66635D50" w14:textId="77777777" w:rsidR="00BE4D71" w:rsidRPr="009F3ADA" w:rsidRDefault="00BE4D71" w:rsidP="00BE4D71">
      <w:pPr>
        <w:pStyle w:val="Corpsdetexte"/>
        <w:spacing w:after="0" w:line="240" w:lineRule="auto"/>
        <w:jc w:val="both"/>
      </w:pPr>
    </w:p>
    <w:p w14:paraId="0CFFC645" w14:textId="77777777" w:rsidR="00BE4D71" w:rsidRPr="009F3ADA" w:rsidRDefault="00BE4D71" w:rsidP="00BE4D71">
      <w:pPr>
        <w:pStyle w:val="Signature"/>
        <w:tabs>
          <w:tab w:val="clear" w:pos="6663"/>
          <w:tab w:val="clear" w:pos="9923"/>
        </w:tabs>
        <w:ind w:left="5400"/>
        <w:jc w:val="both"/>
        <w:rPr>
          <w:rFonts w:ascii="Calibri" w:hAnsi="Calibri"/>
          <w:sz w:val="22"/>
          <w:szCs w:val="22"/>
        </w:rPr>
      </w:pPr>
    </w:p>
    <w:p w14:paraId="4B65F060" w14:textId="77777777" w:rsidR="00BE4D71" w:rsidRPr="0030770E" w:rsidRDefault="00BE4D71" w:rsidP="00BE4D71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>Fait et délibéré à …………………</w:t>
      </w:r>
      <w:proofErr w:type="gramStart"/>
      <w:r w:rsidRPr="0030770E">
        <w:rPr>
          <w:rFonts w:eastAsia="Times New Roman" w:cs="Arial"/>
          <w:lang w:eastAsia="fr-FR"/>
        </w:rPr>
        <w:t>…….</w:t>
      </w:r>
      <w:proofErr w:type="gramEnd"/>
      <w:r w:rsidRPr="0030770E">
        <w:rPr>
          <w:rFonts w:eastAsia="Times New Roman" w:cs="Arial"/>
          <w:lang w:eastAsia="fr-FR"/>
        </w:rPr>
        <w:t xml:space="preserve">. </w:t>
      </w:r>
      <w:proofErr w:type="gramStart"/>
      <w:r w:rsidRPr="0030770E">
        <w:rPr>
          <w:rFonts w:eastAsia="Times New Roman" w:cs="Arial"/>
          <w:lang w:eastAsia="fr-FR"/>
        </w:rPr>
        <w:t>le</w:t>
      </w:r>
      <w:proofErr w:type="gramEnd"/>
      <w:r w:rsidRPr="0030770E">
        <w:rPr>
          <w:rFonts w:eastAsia="Times New Roman" w:cs="Arial"/>
          <w:lang w:eastAsia="fr-FR"/>
        </w:rPr>
        <w:t xml:space="preserve"> ………………………………….</w:t>
      </w:r>
    </w:p>
    <w:p w14:paraId="20C36C44" w14:textId="77777777" w:rsidR="00BE4D71" w:rsidRPr="0030770E" w:rsidRDefault="00BE4D71" w:rsidP="00BE4D71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041D3AEF" w14:textId="77777777" w:rsidR="00BE4D71" w:rsidRPr="0030770E" w:rsidRDefault="00BE4D71" w:rsidP="00BE4D71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706A8836" w14:textId="77777777" w:rsidR="00BE4D71" w:rsidRPr="0030770E" w:rsidRDefault="00BE4D71" w:rsidP="00BE4D71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 xml:space="preserve">Pour copie conforme au registre, </w:t>
      </w:r>
    </w:p>
    <w:p w14:paraId="41F871F5" w14:textId="77777777" w:rsidR="00BE4D71" w:rsidRPr="0030770E" w:rsidRDefault="00BE4D71" w:rsidP="00BE4D71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>……………………</w:t>
      </w:r>
      <w:proofErr w:type="gramStart"/>
      <w:r w:rsidRPr="0030770E">
        <w:rPr>
          <w:rFonts w:eastAsia="Times New Roman" w:cs="Arial"/>
          <w:lang w:eastAsia="fr-FR"/>
        </w:rPr>
        <w:t>…….</w:t>
      </w:r>
      <w:proofErr w:type="gramEnd"/>
      <w:r w:rsidRPr="0030770E">
        <w:rPr>
          <w:rFonts w:eastAsia="Times New Roman" w:cs="Arial"/>
          <w:lang w:eastAsia="fr-FR"/>
        </w:rPr>
        <w:t xml:space="preserve">, le …………………….. </w:t>
      </w:r>
    </w:p>
    <w:p w14:paraId="7338A509" w14:textId="77777777" w:rsidR="00BE4D71" w:rsidRPr="0030770E" w:rsidRDefault="00BE4D71" w:rsidP="00BE4D71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 xml:space="preserve">Le Maire, </w:t>
      </w:r>
    </w:p>
    <w:p w14:paraId="5F202CB9" w14:textId="77777777" w:rsidR="00BE4D71" w:rsidRPr="0030770E" w:rsidRDefault="00BE4D71" w:rsidP="00BE4D71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 w:rsidRPr="0030770E">
        <w:rPr>
          <w:rFonts w:eastAsia="Times New Roman" w:cs="Arial"/>
          <w:lang w:eastAsia="fr-FR"/>
        </w:rPr>
        <w:t>(</w:t>
      </w:r>
      <w:proofErr w:type="gramStart"/>
      <w:r w:rsidRPr="0030770E">
        <w:rPr>
          <w:rFonts w:eastAsia="Times New Roman" w:cs="Arial"/>
          <w:lang w:eastAsia="fr-FR"/>
        </w:rPr>
        <w:t>prénom</w:t>
      </w:r>
      <w:proofErr w:type="gramEnd"/>
      <w:r w:rsidRPr="0030770E">
        <w:rPr>
          <w:rFonts w:eastAsia="Times New Roman" w:cs="Arial"/>
          <w:lang w:eastAsia="fr-FR"/>
        </w:rPr>
        <w:t>, nom, signature)</w:t>
      </w:r>
    </w:p>
    <w:p w14:paraId="7060A91E" w14:textId="77777777" w:rsidR="00BE4D71" w:rsidRPr="0030770E" w:rsidRDefault="00BE4D71" w:rsidP="00BE4D71">
      <w:pPr>
        <w:spacing w:after="0" w:line="240" w:lineRule="auto"/>
        <w:jc w:val="both"/>
        <w:rPr>
          <w:rFonts w:eastAsia="Times New Roman"/>
          <w:lang w:eastAsia="fr-FR"/>
        </w:rPr>
      </w:pPr>
    </w:p>
    <w:p w14:paraId="34C02390" w14:textId="77777777" w:rsidR="002C5D3C" w:rsidRDefault="002C5D3C"/>
    <w:sectPr w:rsidR="002C5D3C" w:rsidSect="00BE4D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3CBC"/>
    <w:multiLevelType w:val="singleLevel"/>
    <w:tmpl w:val="168CFD54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7CEC04F"/>
    <w:multiLevelType w:val="singleLevel"/>
    <w:tmpl w:val="3C7E0822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7DD1DEC"/>
    <w:multiLevelType w:val="singleLevel"/>
    <w:tmpl w:val="176AFE99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117DDA77"/>
    <w:multiLevelType w:val="singleLevel"/>
    <w:tmpl w:val="1B76F079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15B0237B"/>
    <w:multiLevelType w:val="singleLevel"/>
    <w:tmpl w:val="37924A01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82289DC"/>
    <w:multiLevelType w:val="singleLevel"/>
    <w:tmpl w:val="719B2EBB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18A5E8C5"/>
    <w:multiLevelType w:val="singleLevel"/>
    <w:tmpl w:val="18E32564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F7CCDC"/>
    <w:multiLevelType w:val="singleLevel"/>
    <w:tmpl w:val="4AA03041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E0D3FEB"/>
    <w:multiLevelType w:val="singleLevel"/>
    <w:tmpl w:val="6DE14B81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3BDEB8DB"/>
    <w:multiLevelType w:val="singleLevel"/>
    <w:tmpl w:val="674A7824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44673F6E"/>
    <w:multiLevelType w:val="singleLevel"/>
    <w:tmpl w:val="09CB3A55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4B195A6C"/>
    <w:multiLevelType w:val="singleLevel"/>
    <w:tmpl w:val="73FD8160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5AAACA94"/>
    <w:multiLevelType w:val="singleLevel"/>
    <w:tmpl w:val="7552FB39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75992B1D"/>
    <w:multiLevelType w:val="singleLevel"/>
    <w:tmpl w:val="1EAD8114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75C055DB"/>
    <w:multiLevelType w:val="singleLevel"/>
    <w:tmpl w:val="7E02413D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7CC39526"/>
    <w:multiLevelType w:val="singleLevel"/>
    <w:tmpl w:val="4923D64B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0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71"/>
    <w:rsid w:val="002C5D3C"/>
    <w:rsid w:val="00B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5B29"/>
  <w15:chartTrackingRefBased/>
  <w15:docId w15:val="{27B91AED-8C35-45DC-9069-C344CF7F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7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E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4D71"/>
  </w:style>
  <w:style w:type="paragraph" w:customStyle="1" w:styleId="Default">
    <w:name w:val="Default"/>
    <w:rsid w:val="00BE4D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BE4D71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BE4D71"/>
    <w:rPr>
      <w:rFonts w:ascii="Calibri" w:eastAsia="Calibri" w:hAnsi="Calibri" w:cs="Times New Roman"/>
      <w:lang w:val="x-none"/>
    </w:rPr>
  </w:style>
  <w:style w:type="paragraph" w:styleId="Signature">
    <w:name w:val="Signature"/>
    <w:basedOn w:val="Normal"/>
    <w:link w:val="SignatureCar"/>
    <w:rsid w:val="00BE4D7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BE4D7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xtebrut">
    <w:name w:val="Plain Text"/>
    <w:basedOn w:val="Normal"/>
    <w:link w:val="TextebrutCar"/>
    <w:rsid w:val="00BE4D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rsid w:val="00BE4D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re">
    <w:name w:val="Title"/>
    <w:basedOn w:val="Normal"/>
    <w:link w:val="TitreCar"/>
    <w:qFormat/>
    <w:rsid w:val="00BE4D71"/>
    <w:pPr>
      <w:spacing w:after="0" w:line="240" w:lineRule="auto"/>
      <w:ind w:left="5670"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rsid w:val="00BE4D71"/>
    <w:rPr>
      <w:rFonts w:ascii="Times New Roman" w:eastAsia="Times New Roman" w:hAnsi="Times New Roman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Laure Deschamps</cp:lastModifiedBy>
  <cp:revision>1</cp:revision>
  <dcterms:created xsi:type="dcterms:W3CDTF">2021-06-28T11:33:00Z</dcterms:created>
  <dcterms:modified xsi:type="dcterms:W3CDTF">2021-06-28T11:34:00Z</dcterms:modified>
</cp:coreProperties>
</file>