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E3FC" w14:textId="40036B96" w:rsidR="00A50BB1" w:rsidRPr="00A50BB1" w:rsidRDefault="00A50BB1" w:rsidP="00A50BB1">
      <w:pPr>
        <w:pStyle w:val="Default"/>
        <w:jc w:val="center"/>
        <w:rPr>
          <w:rFonts w:ascii="Century Gothic" w:hAnsi="Century Gothic"/>
        </w:rPr>
      </w:pPr>
      <w:r w:rsidRPr="00A50BB1">
        <w:rPr>
          <w:rFonts w:ascii="Century Gothic" w:hAnsi="Century Gothic"/>
          <w:noProof/>
        </w:rPr>
        <w:drawing>
          <wp:inline distT="0" distB="0" distL="0" distR="0" wp14:anchorId="7563F4DE" wp14:editId="19A37FE8">
            <wp:extent cx="1333500" cy="2087880"/>
            <wp:effectExtent l="0" t="0" r="0" b="7620"/>
            <wp:docPr id="1099681316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1316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CE18" w14:textId="77777777" w:rsidR="00BF1D87" w:rsidRDefault="00BF1D87" w:rsidP="008F7FAA">
      <w:pPr>
        <w:pStyle w:val="Default"/>
        <w:rPr>
          <w:rFonts w:ascii="Century Gothic" w:hAnsi="Century Gothic"/>
        </w:rPr>
      </w:pPr>
    </w:p>
    <w:p w14:paraId="11473860" w14:textId="12215779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  <w:t>Centre de Gestion</w:t>
      </w:r>
    </w:p>
    <w:p w14:paraId="744A838D" w14:textId="0D6C6312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 xml:space="preserve">De la Fonction Publique Territoriale </w:t>
      </w:r>
      <w:r w:rsidR="000C3A31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>de Vaucluse</w:t>
      </w:r>
    </w:p>
    <w:p w14:paraId="69A5BFC4" w14:textId="77777777" w:rsidR="00376624" w:rsidRPr="000B3555" w:rsidRDefault="00376624" w:rsidP="008D64B0">
      <w:pPr>
        <w:pStyle w:val="Default"/>
        <w:jc w:val="center"/>
        <w:rPr>
          <w:rFonts w:ascii="Century Gothic" w:hAnsi="Century Gothic"/>
          <w:b/>
          <w:bCs/>
        </w:rPr>
      </w:pPr>
    </w:p>
    <w:p w14:paraId="16BAB2AC" w14:textId="77777777" w:rsidR="00376624" w:rsidRPr="00D74C17" w:rsidRDefault="00376624" w:rsidP="008D64B0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2310F08" w14:textId="54574FB1" w:rsidR="000C3A31" w:rsidRDefault="005C775D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>C</w:t>
      </w:r>
      <w:r w:rsidR="00D74C17" w:rsidRPr="00D74C17">
        <w:rPr>
          <w:rFonts w:ascii="Century Gothic" w:hAnsi="Century Gothic"/>
          <w:b/>
          <w:bCs/>
          <w:sz w:val="28"/>
          <w:szCs w:val="28"/>
        </w:rPr>
        <w:t xml:space="preserve">onvention </w:t>
      </w:r>
      <w:r w:rsidR="000C3A31">
        <w:rPr>
          <w:rFonts w:ascii="Century Gothic" w:hAnsi="Century Gothic"/>
          <w:b/>
          <w:bCs/>
          <w:sz w:val="28"/>
          <w:szCs w:val="28"/>
        </w:rPr>
        <w:t xml:space="preserve">de gestion </w:t>
      </w:r>
      <w:r w:rsidR="005D660B">
        <w:rPr>
          <w:rFonts w:ascii="Century Gothic" w:hAnsi="Century Gothic"/>
          <w:b/>
          <w:bCs/>
          <w:sz w:val="28"/>
          <w:szCs w:val="28"/>
        </w:rPr>
        <w:t>PSC</w:t>
      </w:r>
    </w:p>
    <w:p w14:paraId="13653C9D" w14:textId="40CC394E" w:rsidR="00D74C17" w:rsidRDefault="005D660B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TARIFS</w:t>
      </w:r>
    </w:p>
    <w:p w14:paraId="27E5F488" w14:textId="4432B018" w:rsidR="005024E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RISQUE </w:t>
      </w:r>
      <w:r w:rsidR="00B96D38">
        <w:rPr>
          <w:rFonts w:ascii="Century Gothic" w:hAnsi="Century Gothic"/>
          <w:b/>
          <w:bCs/>
          <w:sz w:val="28"/>
          <w:szCs w:val="28"/>
        </w:rPr>
        <w:t>PREVOYANCE</w:t>
      </w:r>
    </w:p>
    <w:p w14:paraId="50A0EA70" w14:textId="77777777" w:rsidR="004B77B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4963694" w14:textId="459237EC" w:rsidR="005024EC" w:rsidRPr="005024EC" w:rsidRDefault="005024EC" w:rsidP="001306D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4EC">
        <w:rPr>
          <w:rFonts w:ascii="Century Gothic" w:hAnsi="Century Gothic"/>
          <w:b/>
          <w:bCs/>
          <w:sz w:val="20"/>
          <w:szCs w:val="20"/>
        </w:rPr>
        <w:t>( ANNEXE  )</w:t>
      </w:r>
    </w:p>
    <w:p w14:paraId="2DD31B7E" w14:textId="77777777" w:rsidR="00D74C17" w:rsidRDefault="00D74C17" w:rsidP="00C90F8B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6D27D0E" w14:textId="77777777" w:rsidR="00D74C17" w:rsidRDefault="00D74C17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(Applicable à compter du 1</w:t>
      </w:r>
      <w:r w:rsidRPr="00323E0F">
        <w:rPr>
          <w:rFonts w:ascii="Century Gothic" w:hAnsi="Century Gothic" w:cs="Helvetica"/>
          <w:bCs/>
          <w:i/>
          <w:sz w:val="16"/>
          <w:szCs w:val="16"/>
          <w:vertAlign w:val="superscript"/>
        </w:rPr>
        <w:t>er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 xml:space="preserve"> janvier 202</w:t>
      </w:r>
      <w:r w:rsidR="001306D7">
        <w:rPr>
          <w:rFonts w:ascii="Century Gothic" w:hAnsi="Century Gothic" w:cs="Helvetica"/>
          <w:bCs/>
          <w:i/>
          <w:sz w:val="16"/>
          <w:szCs w:val="16"/>
        </w:rPr>
        <w:t>5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)</w:t>
      </w:r>
    </w:p>
    <w:p w14:paraId="71A5250C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60BA9208" w14:textId="00C997D6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Fixés par délibération du Conseil d’Administration du CDG 84 n° </w:t>
      </w:r>
      <w:r w:rsidRPr="00624C17">
        <w:rPr>
          <w:rFonts w:ascii="Century Gothic" w:hAnsi="Century Gothic" w:cs="Helvetica"/>
          <w:bCs/>
          <w:i/>
          <w:sz w:val="16"/>
          <w:szCs w:val="16"/>
        </w:rPr>
        <w:t>24-</w:t>
      </w:r>
      <w:r w:rsidR="002645E5">
        <w:rPr>
          <w:rFonts w:ascii="Century Gothic" w:hAnsi="Century Gothic" w:cs="Helvetica"/>
          <w:bCs/>
          <w:i/>
          <w:sz w:val="16"/>
          <w:szCs w:val="16"/>
        </w:rPr>
        <w:t>30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du 1</w:t>
      </w:r>
      <w:r w:rsidR="002645E5">
        <w:rPr>
          <w:rFonts w:ascii="Century Gothic" w:hAnsi="Century Gothic" w:cs="Helvetica"/>
          <w:bCs/>
          <w:i/>
          <w:sz w:val="16"/>
          <w:szCs w:val="16"/>
        </w:rPr>
        <w:t>5 novembre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2024</w:t>
      </w:r>
    </w:p>
    <w:p w14:paraId="604A8DD7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35D36CEF" w14:textId="2EDFA3B2" w:rsidR="00D74C17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Les sommes dues sont réclamées par le Centre de Gestion de Vaucluse au moyen d’un titre de recettes émis suite à la réalisation des prestations à verser auprès de la Paierie départementale de Vaucluse. </w:t>
      </w:r>
    </w:p>
    <w:p w14:paraId="5033B0C7" w14:textId="77777777" w:rsid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  <w:r>
        <w:rPr>
          <w:rFonts w:ascii="Century Gothic" w:hAnsi="Century Gothic" w:cs="Helvetica"/>
          <w:color w:val="000000"/>
        </w:rPr>
        <w:t xml:space="preserve"> </w:t>
      </w:r>
    </w:p>
    <w:p w14:paraId="4E08BFDB" w14:textId="396AC5D1" w:rsidR="005D660B" w:rsidRP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 xml:space="preserve">Au profit du </w:t>
      </w:r>
    </w:p>
    <w:p w14:paraId="17F8A8A7" w14:textId="77777777" w:rsidR="005D660B" w:rsidRPr="00CB281A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</w:p>
    <w:p w14:paraId="1B51CA58" w14:textId="41C4194E" w:rsidR="005D660B" w:rsidRPr="005D660B" w:rsidRDefault="00D74C17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Centre de Gestion de la Fonction Publique Territoriale d</w:t>
      </w:r>
      <w:r w:rsidR="000C3A31" w:rsidRPr="005D660B">
        <w:rPr>
          <w:rFonts w:ascii="Century Gothic" w:hAnsi="Century Gothic" w:cs="Helvetica"/>
          <w:bCs/>
          <w:i/>
          <w:sz w:val="16"/>
          <w:szCs w:val="16"/>
        </w:rPr>
        <w:t>e Vaucluse</w:t>
      </w:r>
      <w:r w:rsidRPr="005D660B">
        <w:rPr>
          <w:rFonts w:ascii="Century Gothic" w:hAnsi="Century Gothic" w:cs="Helvetica"/>
          <w:bCs/>
          <w:i/>
          <w:sz w:val="16"/>
          <w:szCs w:val="16"/>
        </w:rPr>
        <w:t>,</w:t>
      </w:r>
    </w:p>
    <w:p w14:paraId="56C795A1" w14:textId="1B0B9AAF" w:rsidR="005D660B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80 rue Marcel DEMONQUE, Agroparc –</w:t>
      </w:r>
    </w:p>
    <w:p w14:paraId="7E4D3D5B" w14:textId="2BCC46DF" w:rsidR="000C3A31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CS 60508 84908 AVIGNON cedex 9</w:t>
      </w:r>
    </w:p>
    <w:p w14:paraId="715D6322" w14:textId="77777777" w:rsidR="005D660B" w:rsidRPr="00CB281A" w:rsidRDefault="00D74C17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B281A">
        <w:rPr>
          <w:rFonts w:ascii="Century Gothic" w:hAnsi="Century Gothic"/>
        </w:rPr>
        <w:t xml:space="preserve"> </w:t>
      </w:r>
      <w:r w:rsidRPr="00CB281A">
        <w:rPr>
          <w:rFonts w:ascii="Century Gothic" w:hAnsi="Century Gothic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D660B" w14:paraId="1EC69207" w14:textId="77777777" w:rsidTr="005D660B">
        <w:tc>
          <w:tcPr>
            <w:tcW w:w="3020" w:type="dxa"/>
          </w:tcPr>
          <w:p w14:paraId="1FAB5180" w14:textId="77777777" w:rsidR="005D660B" w:rsidRDefault="005D660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A625280" w14:textId="20BAD846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Tranche d’effectif de la collectivité ( agents CNRACL + IRCANTEC )</w:t>
            </w:r>
          </w:p>
        </w:tc>
        <w:tc>
          <w:tcPr>
            <w:tcW w:w="3020" w:type="dxa"/>
          </w:tcPr>
          <w:p w14:paraId="7903B869" w14:textId="57BA1A8A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Montant</w:t>
            </w:r>
          </w:p>
        </w:tc>
      </w:tr>
      <w:tr w:rsidR="002E529B" w14:paraId="684925EB" w14:textId="77777777" w:rsidTr="005D660B">
        <w:tc>
          <w:tcPr>
            <w:tcW w:w="3020" w:type="dxa"/>
            <w:vMerge w:val="restart"/>
          </w:tcPr>
          <w:p w14:paraId="42DCD003" w14:textId="2C4F17C5" w:rsidR="002E529B" w:rsidRPr="00A92162" w:rsidRDefault="002E529B" w:rsidP="002E529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Cotisation au socle de prestations prévues à l’article 2 de la convention</w:t>
            </w:r>
          </w:p>
        </w:tc>
        <w:tc>
          <w:tcPr>
            <w:tcW w:w="3020" w:type="dxa"/>
          </w:tcPr>
          <w:p w14:paraId="2C24E925" w14:textId="43094B23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97509E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à 49 agents</w:t>
            </w:r>
          </w:p>
        </w:tc>
        <w:tc>
          <w:tcPr>
            <w:tcW w:w="3020" w:type="dxa"/>
          </w:tcPr>
          <w:p w14:paraId="1F10F30E" w14:textId="0A5B741E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E529B">
              <w:rPr>
                <w:rFonts w:ascii="Century Gothic" w:hAnsi="Century Gothic"/>
              </w:rPr>
              <w:t>00 €/an</w:t>
            </w:r>
          </w:p>
        </w:tc>
      </w:tr>
      <w:tr w:rsidR="002E529B" w14:paraId="3CCA54AA" w14:textId="77777777" w:rsidTr="005D660B">
        <w:tc>
          <w:tcPr>
            <w:tcW w:w="3020" w:type="dxa"/>
            <w:vMerge/>
          </w:tcPr>
          <w:p w14:paraId="59408D4C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1C799027" w14:textId="1ECF3499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50 à 99 agents</w:t>
            </w:r>
          </w:p>
        </w:tc>
        <w:tc>
          <w:tcPr>
            <w:tcW w:w="3020" w:type="dxa"/>
          </w:tcPr>
          <w:p w14:paraId="7E9BDF16" w14:textId="3DD9F5C3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3A797E88" w14:textId="77777777" w:rsidTr="005D660B">
        <w:tc>
          <w:tcPr>
            <w:tcW w:w="3020" w:type="dxa"/>
            <w:vMerge/>
          </w:tcPr>
          <w:p w14:paraId="391ED96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6F86D726" w14:textId="75B59331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100 à 299 agents</w:t>
            </w:r>
          </w:p>
        </w:tc>
        <w:tc>
          <w:tcPr>
            <w:tcW w:w="3020" w:type="dxa"/>
          </w:tcPr>
          <w:p w14:paraId="22F8B661" w14:textId="368A0855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6B99217B" w14:textId="77777777" w:rsidTr="005D660B">
        <w:tc>
          <w:tcPr>
            <w:tcW w:w="3020" w:type="dxa"/>
            <w:vMerge/>
          </w:tcPr>
          <w:p w14:paraId="61F7F25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018994C" w14:textId="4C6A42D8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 300 agents</w:t>
            </w:r>
          </w:p>
        </w:tc>
        <w:tc>
          <w:tcPr>
            <w:tcW w:w="3020" w:type="dxa"/>
          </w:tcPr>
          <w:p w14:paraId="4ABDBA19" w14:textId="759C016D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</w:tbl>
    <w:p w14:paraId="0B06E3F8" w14:textId="6C115E59" w:rsidR="005D660B" w:rsidRPr="00CB281A" w:rsidRDefault="005D660B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</w:p>
    <w:sectPr w:rsidR="005D660B" w:rsidRPr="00CB281A" w:rsidSect="00EC7FBC">
      <w:footerReference w:type="default" r:id="rId9"/>
      <w:type w:val="continuous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66A9" w14:textId="77777777" w:rsidR="00985EB1" w:rsidRDefault="00985EB1" w:rsidP="004E6E3B">
      <w:pPr>
        <w:spacing w:after="0" w:line="240" w:lineRule="auto"/>
      </w:pPr>
      <w:r>
        <w:separator/>
      </w:r>
    </w:p>
  </w:endnote>
  <w:endnote w:type="continuationSeparator" w:id="0">
    <w:p w14:paraId="7042355C" w14:textId="77777777" w:rsidR="00985EB1" w:rsidRDefault="00985EB1" w:rsidP="004E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335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4E0862" w14:textId="77777777" w:rsidR="002360C7" w:rsidRPr="002C5A43" w:rsidRDefault="002360C7">
        <w:pPr>
          <w:pStyle w:val="Pieddepage"/>
          <w:jc w:val="right"/>
          <w:rPr>
            <w:sz w:val="16"/>
            <w:szCs w:val="16"/>
          </w:rPr>
        </w:pPr>
        <w:r w:rsidRPr="002C5A43">
          <w:rPr>
            <w:sz w:val="16"/>
            <w:szCs w:val="16"/>
          </w:rPr>
          <w:fldChar w:fldCharType="begin"/>
        </w:r>
        <w:r w:rsidRPr="002C5A43">
          <w:rPr>
            <w:sz w:val="16"/>
            <w:szCs w:val="16"/>
          </w:rPr>
          <w:instrText>PAGE   \* MERGEFORMAT</w:instrText>
        </w:r>
        <w:r w:rsidRPr="002C5A43">
          <w:rPr>
            <w:sz w:val="16"/>
            <w:szCs w:val="16"/>
          </w:rPr>
          <w:fldChar w:fldCharType="separate"/>
        </w:r>
        <w:r w:rsidR="006F7E81">
          <w:rPr>
            <w:noProof/>
            <w:sz w:val="16"/>
            <w:szCs w:val="16"/>
          </w:rPr>
          <w:t>2</w:t>
        </w:r>
        <w:r w:rsidRPr="002C5A43">
          <w:rPr>
            <w:sz w:val="16"/>
            <w:szCs w:val="16"/>
          </w:rPr>
          <w:fldChar w:fldCharType="end"/>
        </w:r>
      </w:p>
    </w:sdtContent>
  </w:sdt>
  <w:p w14:paraId="12A48D8B" w14:textId="77777777" w:rsidR="002360C7" w:rsidRDefault="002360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1FCB" w14:textId="77777777" w:rsidR="00985EB1" w:rsidRDefault="00985EB1" w:rsidP="004E6E3B">
      <w:pPr>
        <w:spacing w:after="0" w:line="240" w:lineRule="auto"/>
      </w:pPr>
      <w:r>
        <w:separator/>
      </w:r>
    </w:p>
  </w:footnote>
  <w:footnote w:type="continuationSeparator" w:id="0">
    <w:p w14:paraId="73F037FD" w14:textId="77777777" w:rsidR="00985EB1" w:rsidRDefault="00985EB1" w:rsidP="004E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2B0"/>
    <w:multiLevelType w:val="hybridMultilevel"/>
    <w:tmpl w:val="8B2E0BA8"/>
    <w:lvl w:ilvl="0" w:tplc="F51A9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94D"/>
    <w:multiLevelType w:val="hybridMultilevel"/>
    <w:tmpl w:val="3ADC53C2"/>
    <w:lvl w:ilvl="0" w:tplc="6B005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D92"/>
    <w:multiLevelType w:val="hybridMultilevel"/>
    <w:tmpl w:val="ABFEA79A"/>
    <w:lvl w:ilvl="0" w:tplc="6334195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1375"/>
    <w:multiLevelType w:val="hybridMultilevel"/>
    <w:tmpl w:val="F2322226"/>
    <w:lvl w:ilvl="0" w:tplc="86F6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4175">
    <w:abstractNumId w:val="0"/>
  </w:num>
  <w:num w:numId="2" w16cid:durableId="1899323681">
    <w:abstractNumId w:val="3"/>
  </w:num>
  <w:num w:numId="3" w16cid:durableId="1901743604">
    <w:abstractNumId w:val="1"/>
  </w:num>
  <w:num w:numId="4" w16cid:durableId="9429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6"/>
  <w:doNotHyphenateCap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5D"/>
    <w:rsid w:val="00000144"/>
    <w:rsid w:val="00001DAA"/>
    <w:rsid w:val="00003FC2"/>
    <w:rsid w:val="00017B6B"/>
    <w:rsid w:val="00035153"/>
    <w:rsid w:val="00057466"/>
    <w:rsid w:val="00057B4D"/>
    <w:rsid w:val="0006709D"/>
    <w:rsid w:val="00067B50"/>
    <w:rsid w:val="0007631A"/>
    <w:rsid w:val="000825FA"/>
    <w:rsid w:val="00091A2D"/>
    <w:rsid w:val="00096818"/>
    <w:rsid w:val="000A4794"/>
    <w:rsid w:val="000B3555"/>
    <w:rsid w:val="000B40FE"/>
    <w:rsid w:val="000C3A31"/>
    <w:rsid w:val="000E0FB9"/>
    <w:rsid w:val="000E226F"/>
    <w:rsid w:val="000F7E15"/>
    <w:rsid w:val="0010584F"/>
    <w:rsid w:val="00106D7A"/>
    <w:rsid w:val="00113384"/>
    <w:rsid w:val="00113532"/>
    <w:rsid w:val="00115B7C"/>
    <w:rsid w:val="00124885"/>
    <w:rsid w:val="001306D7"/>
    <w:rsid w:val="001345AC"/>
    <w:rsid w:val="001358B5"/>
    <w:rsid w:val="00154EE2"/>
    <w:rsid w:val="001731AB"/>
    <w:rsid w:val="0018259B"/>
    <w:rsid w:val="001C4D1B"/>
    <w:rsid w:val="001C7EBB"/>
    <w:rsid w:val="001F3CB0"/>
    <w:rsid w:val="001F4FE9"/>
    <w:rsid w:val="00211D8D"/>
    <w:rsid w:val="0023443B"/>
    <w:rsid w:val="002360C7"/>
    <w:rsid w:val="00236F53"/>
    <w:rsid w:val="00240712"/>
    <w:rsid w:val="00251B85"/>
    <w:rsid w:val="00255F23"/>
    <w:rsid w:val="00257EBA"/>
    <w:rsid w:val="00262610"/>
    <w:rsid w:val="002645E5"/>
    <w:rsid w:val="002746AE"/>
    <w:rsid w:val="002865C8"/>
    <w:rsid w:val="0029667D"/>
    <w:rsid w:val="002A31F1"/>
    <w:rsid w:val="002B276D"/>
    <w:rsid w:val="002B4606"/>
    <w:rsid w:val="002C5A43"/>
    <w:rsid w:val="002D1CDA"/>
    <w:rsid w:val="002D245D"/>
    <w:rsid w:val="002E529B"/>
    <w:rsid w:val="002F7BF1"/>
    <w:rsid w:val="00327892"/>
    <w:rsid w:val="00351368"/>
    <w:rsid w:val="00376624"/>
    <w:rsid w:val="00380CAA"/>
    <w:rsid w:val="00382D45"/>
    <w:rsid w:val="003A2BE8"/>
    <w:rsid w:val="003F06CB"/>
    <w:rsid w:val="004039C7"/>
    <w:rsid w:val="00407D19"/>
    <w:rsid w:val="004159B6"/>
    <w:rsid w:val="00420F26"/>
    <w:rsid w:val="00437F15"/>
    <w:rsid w:val="00445188"/>
    <w:rsid w:val="00463605"/>
    <w:rsid w:val="004771D5"/>
    <w:rsid w:val="00493E8E"/>
    <w:rsid w:val="00495266"/>
    <w:rsid w:val="004A79EA"/>
    <w:rsid w:val="004B1795"/>
    <w:rsid w:val="004B53AD"/>
    <w:rsid w:val="004B77BC"/>
    <w:rsid w:val="004C2602"/>
    <w:rsid w:val="004D0C09"/>
    <w:rsid w:val="004D2FAD"/>
    <w:rsid w:val="004E6E3B"/>
    <w:rsid w:val="004F16A2"/>
    <w:rsid w:val="004F79CC"/>
    <w:rsid w:val="005024EC"/>
    <w:rsid w:val="00514E35"/>
    <w:rsid w:val="00517998"/>
    <w:rsid w:val="00535DCB"/>
    <w:rsid w:val="005400CB"/>
    <w:rsid w:val="005453A7"/>
    <w:rsid w:val="00575901"/>
    <w:rsid w:val="005A6367"/>
    <w:rsid w:val="005C775D"/>
    <w:rsid w:val="005D12A8"/>
    <w:rsid w:val="005D5A2C"/>
    <w:rsid w:val="005D660B"/>
    <w:rsid w:val="005E3DEC"/>
    <w:rsid w:val="005E6256"/>
    <w:rsid w:val="005F7ABB"/>
    <w:rsid w:val="006016CD"/>
    <w:rsid w:val="00611F10"/>
    <w:rsid w:val="00621177"/>
    <w:rsid w:val="00624C17"/>
    <w:rsid w:val="00626CD2"/>
    <w:rsid w:val="006532D8"/>
    <w:rsid w:val="00684E01"/>
    <w:rsid w:val="006A1574"/>
    <w:rsid w:val="006B0C39"/>
    <w:rsid w:val="006B0F97"/>
    <w:rsid w:val="006B122C"/>
    <w:rsid w:val="006B15B6"/>
    <w:rsid w:val="006B300A"/>
    <w:rsid w:val="006F7E81"/>
    <w:rsid w:val="007013DF"/>
    <w:rsid w:val="00734BF4"/>
    <w:rsid w:val="00745B7F"/>
    <w:rsid w:val="0075258E"/>
    <w:rsid w:val="00767EC0"/>
    <w:rsid w:val="00774A26"/>
    <w:rsid w:val="00782E7E"/>
    <w:rsid w:val="00783734"/>
    <w:rsid w:val="007B1A75"/>
    <w:rsid w:val="007B7888"/>
    <w:rsid w:val="007F40BA"/>
    <w:rsid w:val="00803750"/>
    <w:rsid w:val="00820BB5"/>
    <w:rsid w:val="008235F2"/>
    <w:rsid w:val="00841293"/>
    <w:rsid w:val="00842A12"/>
    <w:rsid w:val="00844F33"/>
    <w:rsid w:val="00871717"/>
    <w:rsid w:val="00885152"/>
    <w:rsid w:val="00890985"/>
    <w:rsid w:val="008C3F03"/>
    <w:rsid w:val="008C503E"/>
    <w:rsid w:val="008D64B0"/>
    <w:rsid w:val="008E17BB"/>
    <w:rsid w:val="008F2DB9"/>
    <w:rsid w:val="008F2F04"/>
    <w:rsid w:val="008F3395"/>
    <w:rsid w:val="008F7FAA"/>
    <w:rsid w:val="009006AD"/>
    <w:rsid w:val="00917401"/>
    <w:rsid w:val="00931DBF"/>
    <w:rsid w:val="00932F17"/>
    <w:rsid w:val="009478E4"/>
    <w:rsid w:val="0095111E"/>
    <w:rsid w:val="00952BA5"/>
    <w:rsid w:val="00952C48"/>
    <w:rsid w:val="0097509E"/>
    <w:rsid w:val="00985EB1"/>
    <w:rsid w:val="009C28C2"/>
    <w:rsid w:val="009D5292"/>
    <w:rsid w:val="009E03CA"/>
    <w:rsid w:val="00A03446"/>
    <w:rsid w:val="00A20A51"/>
    <w:rsid w:val="00A2360D"/>
    <w:rsid w:val="00A33326"/>
    <w:rsid w:val="00A40FEF"/>
    <w:rsid w:val="00A50BB1"/>
    <w:rsid w:val="00A706C2"/>
    <w:rsid w:val="00A73CB3"/>
    <w:rsid w:val="00A8716A"/>
    <w:rsid w:val="00A92162"/>
    <w:rsid w:val="00AB08AA"/>
    <w:rsid w:val="00AC01B5"/>
    <w:rsid w:val="00AC7514"/>
    <w:rsid w:val="00AE13BB"/>
    <w:rsid w:val="00B35710"/>
    <w:rsid w:val="00B55618"/>
    <w:rsid w:val="00B809C8"/>
    <w:rsid w:val="00B96D38"/>
    <w:rsid w:val="00BA7C20"/>
    <w:rsid w:val="00BC2292"/>
    <w:rsid w:val="00BF1D87"/>
    <w:rsid w:val="00C21B0D"/>
    <w:rsid w:val="00C22B06"/>
    <w:rsid w:val="00C27B8B"/>
    <w:rsid w:val="00C303AA"/>
    <w:rsid w:val="00C43FAE"/>
    <w:rsid w:val="00C56153"/>
    <w:rsid w:val="00C735AA"/>
    <w:rsid w:val="00C80519"/>
    <w:rsid w:val="00C90F8B"/>
    <w:rsid w:val="00CB281A"/>
    <w:rsid w:val="00CB2A75"/>
    <w:rsid w:val="00CC030F"/>
    <w:rsid w:val="00CC0B5E"/>
    <w:rsid w:val="00CC323A"/>
    <w:rsid w:val="00CC6AB1"/>
    <w:rsid w:val="00CF0F09"/>
    <w:rsid w:val="00D07BE4"/>
    <w:rsid w:val="00D22A2E"/>
    <w:rsid w:val="00D41EA7"/>
    <w:rsid w:val="00D4616B"/>
    <w:rsid w:val="00D74C17"/>
    <w:rsid w:val="00D9117C"/>
    <w:rsid w:val="00DB1041"/>
    <w:rsid w:val="00E13AD8"/>
    <w:rsid w:val="00E31BF5"/>
    <w:rsid w:val="00E3637C"/>
    <w:rsid w:val="00E5562C"/>
    <w:rsid w:val="00E64D2E"/>
    <w:rsid w:val="00E7657C"/>
    <w:rsid w:val="00E77C70"/>
    <w:rsid w:val="00E85B65"/>
    <w:rsid w:val="00EA7D83"/>
    <w:rsid w:val="00EB702C"/>
    <w:rsid w:val="00EC38C1"/>
    <w:rsid w:val="00EC71DC"/>
    <w:rsid w:val="00EC7FBC"/>
    <w:rsid w:val="00ED63B5"/>
    <w:rsid w:val="00ED7878"/>
    <w:rsid w:val="00EE7A04"/>
    <w:rsid w:val="00EF199F"/>
    <w:rsid w:val="00EF5B01"/>
    <w:rsid w:val="00F044ED"/>
    <w:rsid w:val="00F05EF4"/>
    <w:rsid w:val="00F13B31"/>
    <w:rsid w:val="00F15398"/>
    <w:rsid w:val="00F22FEE"/>
    <w:rsid w:val="00F86837"/>
    <w:rsid w:val="00FA19C9"/>
    <w:rsid w:val="00FE037D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0D7EBB"/>
  <w15:docId w15:val="{55FA825F-546E-42B8-A131-3DCD45E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7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3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E3B"/>
  </w:style>
  <w:style w:type="paragraph" w:styleId="Pieddepage">
    <w:name w:val="footer"/>
    <w:basedOn w:val="Normal"/>
    <w:link w:val="Pieddepag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E3B"/>
  </w:style>
  <w:style w:type="paragraph" w:styleId="Sansinterligne">
    <w:name w:val="No Spacing"/>
    <w:uiPriority w:val="1"/>
    <w:qFormat/>
    <w:rsid w:val="00E85B6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5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40FE"/>
    <w:pPr>
      <w:spacing w:after="160" w:line="259" w:lineRule="auto"/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0B40FE"/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B40FE"/>
    <w:rPr>
      <w:rFonts w:eastAsiaTheme="minorEastAsia"/>
      <w:lang w:eastAsia="fr-FR"/>
    </w:rPr>
  </w:style>
  <w:style w:type="paragraph" w:customStyle="1" w:styleId="LO-Normal">
    <w:name w:val="LO-Normal"/>
    <w:rsid w:val="000B40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textAlignment w:val="baseline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0C3A31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C3A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E509-8F29-4C22-B8DF-B1AFB81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COROMPT</dc:creator>
  <cp:lastModifiedBy>Laure Deschamps</cp:lastModifiedBy>
  <cp:revision>7</cp:revision>
  <cp:lastPrinted>2024-09-11T12:46:00Z</cp:lastPrinted>
  <dcterms:created xsi:type="dcterms:W3CDTF">2024-09-12T07:14:00Z</dcterms:created>
  <dcterms:modified xsi:type="dcterms:W3CDTF">2025-06-02T15:05:00Z</dcterms:modified>
</cp:coreProperties>
</file>